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6070F" w14:textId="11E520C5" w:rsidR="007F73E0" w:rsidRPr="00590A60" w:rsidRDefault="007F73E0" w:rsidP="007F73E0">
      <w:pPr>
        <w:rPr>
          <w:rFonts w:ascii="Helvetica" w:hAnsi="Helvetica" w:cs="Times New Roman"/>
          <w:b/>
          <w:bCs/>
        </w:rPr>
      </w:pPr>
      <w:r>
        <w:rPr>
          <w:rFonts w:ascii="Helvetica" w:hAnsi="Helvetica" w:cs="Times New Roman"/>
          <w:noProof/>
        </w:rPr>
        <w:drawing>
          <wp:anchor distT="0" distB="0" distL="114300" distR="114300" simplePos="0" relativeHeight="251659264" behindDoc="1" locked="0" layoutInCell="1" allowOverlap="1" wp14:anchorId="318361CF" wp14:editId="5D20B70D">
            <wp:simplePos x="0" y="0"/>
            <wp:positionH relativeFrom="column">
              <wp:posOffset>3214370</wp:posOffset>
            </wp:positionH>
            <wp:positionV relativeFrom="paragraph">
              <wp:posOffset>6985</wp:posOffset>
            </wp:positionV>
            <wp:extent cx="2425700" cy="2425700"/>
            <wp:effectExtent l="0" t="0" r="0" b="0"/>
            <wp:wrapTight wrapText="bothSides">
              <wp:wrapPolygon edited="0">
                <wp:start x="0" y="0"/>
                <wp:lineTo x="0" y="21487"/>
                <wp:lineTo x="21487" y="21487"/>
                <wp:lineTo x="21487" y="0"/>
                <wp:lineTo x="0" y="0"/>
              </wp:wrapPolygon>
            </wp:wrapTight>
            <wp:docPr id="3" name="Picture 3" descr="A picture containing animal, bird, water, 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tl-hairstrea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25700" cy="2425700"/>
                    </a:xfrm>
                    <a:prstGeom prst="rect">
                      <a:avLst/>
                    </a:prstGeom>
                  </pic:spPr>
                </pic:pic>
              </a:graphicData>
            </a:graphic>
            <wp14:sizeRelH relativeFrom="page">
              <wp14:pctWidth>0</wp14:pctWidth>
            </wp14:sizeRelH>
            <wp14:sizeRelV relativeFrom="page">
              <wp14:pctHeight>0</wp14:pctHeight>
            </wp14:sizeRelV>
          </wp:anchor>
        </w:drawing>
      </w:r>
      <w:r w:rsidRPr="00590A60">
        <w:rPr>
          <w:rFonts w:ascii="Helvetica" w:hAnsi="Helvetica" w:cs="Times New Roman"/>
          <w:b/>
          <w:bCs/>
        </w:rPr>
        <w:t>Gas Leaf Blowers Pose New Threat During COVID-19 Crisis</w:t>
      </w:r>
    </w:p>
    <w:p w14:paraId="3489BAC5" w14:textId="506A1CF1" w:rsidR="007F73E0" w:rsidRPr="00590A60" w:rsidRDefault="007F73E0" w:rsidP="007F73E0">
      <w:pPr>
        <w:rPr>
          <w:rFonts w:ascii="Helvetica" w:hAnsi="Helvetica" w:cs="Times New Roman"/>
        </w:rPr>
      </w:pPr>
      <w:r w:rsidRPr="00590A60">
        <w:rPr>
          <w:rFonts w:ascii="Helvetica" w:hAnsi="Helvetica" w:cs="Times New Roman"/>
        </w:rPr>
        <w:t xml:space="preserve">By Valerie </w:t>
      </w:r>
      <w:proofErr w:type="spellStart"/>
      <w:r w:rsidRPr="00590A60">
        <w:rPr>
          <w:rFonts w:ascii="Helvetica" w:hAnsi="Helvetica" w:cs="Times New Roman"/>
        </w:rPr>
        <w:t>Seiling</w:t>
      </w:r>
      <w:proofErr w:type="spellEnd"/>
      <w:r w:rsidRPr="00590A60">
        <w:rPr>
          <w:rFonts w:ascii="Helvetica" w:hAnsi="Helvetica" w:cs="Times New Roman"/>
        </w:rPr>
        <w:t xml:space="preserve"> Jacobs </w:t>
      </w:r>
      <w:r>
        <w:rPr>
          <w:rFonts w:ascii="Helvetica" w:hAnsi="Helvetica" w:cs="Times New Roman"/>
        </w:rPr>
        <w:t>&amp;</w:t>
      </w:r>
      <w:r w:rsidRPr="00590A60">
        <w:rPr>
          <w:rFonts w:ascii="Helvetica" w:hAnsi="Helvetica" w:cs="Times New Roman"/>
        </w:rPr>
        <w:t xml:space="preserve"> Chet Kerr</w:t>
      </w:r>
    </w:p>
    <w:p w14:paraId="22CED5C2" w14:textId="77777777" w:rsidR="007F73E0" w:rsidRPr="00590A60" w:rsidRDefault="007F73E0" w:rsidP="007F73E0">
      <w:pPr>
        <w:rPr>
          <w:rFonts w:ascii="Helvetica" w:hAnsi="Helvetica" w:cs="Times New Roman"/>
        </w:rPr>
      </w:pPr>
    </w:p>
    <w:p w14:paraId="73EB442C" w14:textId="77777777" w:rsidR="007F73E0" w:rsidRPr="00590A60" w:rsidRDefault="007F73E0" w:rsidP="007F73E0">
      <w:pPr>
        <w:rPr>
          <w:rFonts w:ascii="Helvetica" w:hAnsi="Helvetica" w:cs="Times New Roman"/>
        </w:rPr>
      </w:pPr>
      <w:r w:rsidRPr="00590A60">
        <w:rPr>
          <w:rFonts w:ascii="Helvetica" w:hAnsi="Helvetica" w:cs="Times New Roman"/>
        </w:rPr>
        <w:t xml:space="preserve">Most of us working along the Pollinator Pathway are aware of the damage gas leaf blowers cause to pollinator habitat—first and foremost they eliminate the leaves necessary for overwintering pollinators such as the </w:t>
      </w:r>
      <w:proofErr w:type="spellStart"/>
      <w:r w:rsidRPr="00590A60">
        <w:rPr>
          <w:rFonts w:ascii="Helvetica" w:hAnsi="Helvetica" w:cs="Times New Roman"/>
        </w:rPr>
        <w:t>luna</w:t>
      </w:r>
      <w:proofErr w:type="spellEnd"/>
      <w:r w:rsidRPr="00590A60">
        <w:rPr>
          <w:rFonts w:ascii="Helvetica" w:hAnsi="Helvetica" w:cs="Times New Roman"/>
        </w:rPr>
        <w:t xml:space="preserve"> moth and </w:t>
      </w:r>
      <w:r>
        <w:rPr>
          <w:rFonts w:ascii="Helvetica" w:hAnsi="Helvetica" w:cs="Times New Roman"/>
        </w:rPr>
        <w:t>hairstreak</w:t>
      </w:r>
      <w:r w:rsidRPr="00590A60">
        <w:rPr>
          <w:rFonts w:ascii="Helvetica" w:hAnsi="Helvetica" w:cs="Times New Roman"/>
        </w:rPr>
        <w:t xml:space="preserve"> and they harm native ground nesting bee habitat, such as that of our native bumble bees.  Gardeners know their hurricane force blasts (150-280 mile-an-hour) also compact soil and expose and d</w:t>
      </w:r>
      <w:r>
        <w:rPr>
          <w:rFonts w:ascii="Helvetica" w:hAnsi="Helvetica" w:cs="Times New Roman"/>
        </w:rPr>
        <w:t>esiccate</w:t>
      </w:r>
      <w:r w:rsidRPr="00590A60">
        <w:rPr>
          <w:rFonts w:ascii="Helvetica" w:hAnsi="Helvetica" w:cs="Times New Roman"/>
        </w:rPr>
        <w:t xml:space="preserve"> root systems. </w:t>
      </w:r>
    </w:p>
    <w:p w14:paraId="23A33DE1" w14:textId="77777777" w:rsidR="007F73E0" w:rsidRPr="00590A60" w:rsidRDefault="007F73E0" w:rsidP="007F73E0">
      <w:pPr>
        <w:rPr>
          <w:rFonts w:ascii="Helvetica" w:hAnsi="Helvetica" w:cs="Times New Roman"/>
        </w:rPr>
      </w:pPr>
    </w:p>
    <w:p w14:paraId="488997CF" w14:textId="77777777" w:rsidR="007F73E0" w:rsidRPr="00590A60" w:rsidRDefault="007F73E0" w:rsidP="007F73E0">
      <w:pPr>
        <w:rPr>
          <w:rFonts w:ascii="Helvetica" w:hAnsi="Helvetica" w:cs="Times New Roman"/>
        </w:rPr>
      </w:pPr>
      <w:r w:rsidRPr="00590A60">
        <w:rPr>
          <w:rFonts w:ascii="Helvetica" w:hAnsi="Helvetica" w:cs="Times New Roman"/>
        </w:rPr>
        <w:t xml:space="preserve">Thanks to the work of organizations like </w:t>
      </w:r>
      <w:hyperlink r:id="rId5" w:history="1">
        <w:r w:rsidRPr="00590A60">
          <w:rPr>
            <w:rStyle w:val="Hyperlink"/>
            <w:rFonts w:ascii="Helvetica" w:hAnsi="Helvetica" w:cs="Times New Roman"/>
          </w:rPr>
          <w:t>Qui</w:t>
        </w:r>
        <w:r w:rsidRPr="00590A60">
          <w:rPr>
            <w:rStyle w:val="Hyperlink"/>
            <w:rFonts w:ascii="Helvetica" w:hAnsi="Helvetica" w:cs="Times New Roman"/>
          </w:rPr>
          <w:t>e</w:t>
        </w:r>
        <w:r w:rsidRPr="00590A60">
          <w:rPr>
            <w:rStyle w:val="Hyperlink"/>
            <w:rFonts w:ascii="Helvetica" w:hAnsi="Helvetica" w:cs="Times New Roman"/>
          </w:rPr>
          <w:t>t Communities</w:t>
        </w:r>
      </w:hyperlink>
      <w:r w:rsidRPr="00590A60">
        <w:rPr>
          <w:rFonts w:ascii="Helvetica" w:hAnsi="Helvetica" w:cs="Times New Roman"/>
        </w:rPr>
        <w:t xml:space="preserve">, we’ve known for a long time that gas leaf blowers are also associated with human health problems, </w:t>
      </w:r>
      <w:r>
        <w:rPr>
          <w:rFonts w:ascii="Helvetica" w:hAnsi="Helvetica" w:cs="Times New Roman"/>
        </w:rPr>
        <w:t xml:space="preserve">including </w:t>
      </w:r>
      <w:r w:rsidRPr="00590A60">
        <w:rPr>
          <w:rFonts w:ascii="Helvetica" w:hAnsi="Helvetica" w:cs="Times New Roman"/>
        </w:rPr>
        <w:t xml:space="preserve">hearing loss, </w:t>
      </w:r>
      <w:r>
        <w:rPr>
          <w:rFonts w:ascii="Helvetica" w:hAnsi="Helvetica" w:cs="Times New Roman"/>
        </w:rPr>
        <w:t xml:space="preserve">high blood pressure, </w:t>
      </w:r>
      <w:r w:rsidRPr="00590A60">
        <w:rPr>
          <w:rFonts w:ascii="Helvetica" w:hAnsi="Helvetica" w:cs="Times New Roman"/>
        </w:rPr>
        <w:t xml:space="preserve">and </w:t>
      </w:r>
      <w:r>
        <w:rPr>
          <w:rFonts w:ascii="Helvetica" w:hAnsi="Helvetica" w:cs="Times New Roman"/>
        </w:rPr>
        <w:t>impaired</w:t>
      </w:r>
      <w:r w:rsidRPr="00590A60">
        <w:rPr>
          <w:rFonts w:ascii="Helvetica" w:hAnsi="Helvetica" w:cs="Times New Roman"/>
        </w:rPr>
        <w:t xml:space="preserve"> ability </w:t>
      </w:r>
      <w:r>
        <w:rPr>
          <w:rFonts w:ascii="Helvetica" w:hAnsi="Helvetica" w:cs="Times New Roman"/>
        </w:rPr>
        <w:t xml:space="preserve">among children </w:t>
      </w:r>
      <w:r w:rsidRPr="00590A60">
        <w:rPr>
          <w:rFonts w:ascii="Helvetica" w:hAnsi="Helvetica" w:cs="Times New Roman"/>
        </w:rPr>
        <w:t>to concentrate amid the loud noise they create—to name a few. That’s why more than 200 towns across the country have already banned or restricted their use. Recently, however, the situation became more urgent.</w:t>
      </w:r>
    </w:p>
    <w:p w14:paraId="6191CD71" w14:textId="48E63101" w:rsidR="007F73E0" w:rsidRPr="00590A60" w:rsidRDefault="007F73E0" w:rsidP="007F73E0">
      <w:pPr>
        <w:rPr>
          <w:rFonts w:ascii="Helvetica" w:hAnsi="Helvetica" w:cs="Times New Roman"/>
        </w:rPr>
      </w:pPr>
    </w:p>
    <w:p w14:paraId="6329794F" w14:textId="42054525" w:rsidR="007F73E0" w:rsidRDefault="007F73E0" w:rsidP="007F73E0">
      <w:pPr>
        <w:rPr>
          <w:rFonts w:ascii="Helvetica" w:hAnsi="Helvetica" w:cs="Times New Roman"/>
          <w:color w:val="000000"/>
        </w:rPr>
      </w:pPr>
      <w:r w:rsidRPr="00590A60">
        <w:rPr>
          <w:rFonts w:ascii="Helvetica" w:hAnsi="Helvetica" w:cs="Times New Roman"/>
          <w:noProof/>
        </w:rPr>
        <w:drawing>
          <wp:anchor distT="0" distB="0" distL="114300" distR="114300" simplePos="0" relativeHeight="251661312" behindDoc="1" locked="0" layoutInCell="1" allowOverlap="1" wp14:anchorId="6009FAB0" wp14:editId="1DE8A6EE">
            <wp:simplePos x="0" y="0"/>
            <wp:positionH relativeFrom="column">
              <wp:posOffset>-36830</wp:posOffset>
            </wp:positionH>
            <wp:positionV relativeFrom="paragraph">
              <wp:posOffset>824230</wp:posOffset>
            </wp:positionV>
            <wp:extent cx="2880360" cy="1578610"/>
            <wp:effectExtent l="0" t="0" r="2540" b="0"/>
            <wp:wrapTight wrapText="bothSides">
              <wp:wrapPolygon edited="0">
                <wp:start x="0" y="0"/>
                <wp:lineTo x="0" y="21374"/>
                <wp:lineTo x="21524" y="21374"/>
                <wp:lineTo x="21524" y="0"/>
                <wp:lineTo x="0" y="0"/>
              </wp:wrapPolygon>
            </wp:wrapTight>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15-20 at 9.38 A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80360" cy="1578610"/>
                    </a:xfrm>
                    <a:prstGeom prst="rect">
                      <a:avLst/>
                    </a:prstGeom>
                  </pic:spPr>
                </pic:pic>
              </a:graphicData>
            </a:graphic>
            <wp14:sizeRelH relativeFrom="page">
              <wp14:pctWidth>0</wp14:pctWidth>
            </wp14:sizeRelH>
            <wp14:sizeRelV relativeFrom="page">
              <wp14:pctHeight>0</wp14:pctHeight>
            </wp14:sizeRelV>
          </wp:anchor>
        </w:drawing>
      </w:r>
      <w:r w:rsidRPr="00590A60">
        <w:rPr>
          <w:rFonts w:ascii="Helvetica" w:hAnsi="Helvetica" w:cs="Times New Roman"/>
          <w:color w:val="000000"/>
        </w:rPr>
        <w:t xml:space="preserve">In April 2020, </w:t>
      </w:r>
      <w:hyperlink r:id="rId7" w:history="1">
        <w:r w:rsidRPr="00590A60">
          <w:rPr>
            <w:rStyle w:val="Hyperlink"/>
            <w:rFonts w:ascii="Helvetica" w:hAnsi="Helvetica" w:cs="Times New Roman"/>
          </w:rPr>
          <w:t>researchers at Harvard University reported</w:t>
        </w:r>
      </w:hyperlink>
      <w:r w:rsidRPr="00590A60">
        <w:rPr>
          <w:rFonts w:ascii="Helvetica" w:hAnsi="Helvetica" w:cs="Times New Roman"/>
          <w:color w:val="000000"/>
        </w:rPr>
        <w:t xml:space="preserve"> a strong link between the type of pollution generated by gas leaf blowers (i.e., fine particulate matter) and a higher risk of complications and death from COVID-19. According to those researchers, even a small increase (1 microgram) in the concentration of particulate air pollution means a big increase in COVID-19 deaths. This is extremely troubling since a single commercial gas leaf blower can produce 30 million micrograms of fine particulate </w:t>
      </w:r>
      <w:r w:rsidRPr="00590A60">
        <w:rPr>
          <w:rFonts w:ascii="Helvetica" w:hAnsi="Helvetica" w:cs="Times New Roman"/>
          <w:color w:val="000000"/>
          <w:u w:val="single"/>
        </w:rPr>
        <w:t>every hour</w:t>
      </w:r>
      <w:r w:rsidRPr="00590A60">
        <w:rPr>
          <w:rFonts w:ascii="Helvetica" w:hAnsi="Helvetica" w:cs="Times New Roman"/>
          <w:color w:val="000000"/>
        </w:rPr>
        <w:t xml:space="preserve">—and the stuff hangs around at ground level for a long time. </w:t>
      </w:r>
    </w:p>
    <w:p w14:paraId="5F3A6C04" w14:textId="5F4EB702" w:rsidR="007F73E0" w:rsidRDefault="007F73E0" w:rsidP="007F73E0">
      <w:pPr>
        <w:rPr>
          <w:rFonts w:ascii="Helvetica" w:hAnsi="Helvetica" w:cs="Times New Roman"/>
          <w:color w:val="000000"/>
        </w:rPr>
      </w:pPr>
    </w:p>
    <w:p w14:paraId="6050287F" w14:textId="77777777" w:rsidR="007F73E0" w:rsidRPr="00590A60" w:rsidRDefault="007F73E0" w:rsidP="007F73E0">
      <w:pPr>
        <w:rPr>
          <w:rFonts w:ascii="Helvetica" w:eastAsia="Times New Roman" w:hAnsi="Helvetica"/>
        </w:rPr>
      </w:pPr>
      <w:r w:rsidRPr="00590A60">
        <w:rPr>
          <w:rFonts w:ascii="Helvetica" w:hAnsi="Helvetica" w:cs="Times New Roman"/>
          <w:color w:val="000000"/>
        </w:rPr>
        <w:t xml:space="preserve">A number of towns have already imposed bans or restrictions on gas leaf blowers for the duration of the pandemic, including Tarrytown, NY </w:t>
      </w:r>
      <w:r w:rsidRPr="00590A60">
        <w:rPr>
          <w:rFonts w:ascii="Helvetica" w:hAnsi="Helvetica" w:cs="Times New Roman"/>
          <w:color w:val="000000"/>
        </w:rPr>
        <w:t>(</w:t>
      </w:r>
      <w:hyperlink r:id="rId8" w:history="1">
        <w:r w:rsidRPr="00590A60">
          <w:rPr>
            <w:rStyle w:val="Hyperlink"/>
            <w:rFonts w:ascii="Helvetica" w:hAnsi="Helvetica" w:cs="Times New Roman"/>
          </w:rPr>
          <w:t>here</w:t>
        </w:r>
      </w:hyperlink>
      <w:r w:rsidRPr="00590A60">
        <w:rPr>
          <w:rFonts w:ascii="Helvetica" w:hAnsi="Helvetica" w:cs="Times New Roman"/>
          <w:color w:val="000000"/>
        </w:rPr>
        <w:t xml:space="preserve"> is their resolution), Larchmont (NY), Croton-on-Hudson (NY), Sleepy Hollow (NY), Southampton (NY), and Greenwich (CT). Others have </w:t>
      </w:r>
      <w:r w:rsidRPr="00590A60">
        <w:rPr>
          <w:rFonts w:ascii="Helvetica" w:eastAsia="Times New Roman" w:hAnsi="Helvetica"/>
        </w:rPr>
        <w:t xml:space="preserve">issued directives to landscapers requesting that alternative methods of leaf removal be used, </w:t>
      </w:r>
      <w:r w:rsidRPr="00590A60">
        <w:rPr>
          <w:rFonts w:ascii="Helvetica" w:eastAsia="Times New Roman" w:hAnsi="Helvetica"/>
          <w:iCs/>
        </w:rPr>
        <w:t>such as the Village of</w:t>
      </w:r>
      <w:r w:rsidRPr="00590A60">
        <w:rPr>
          <w:rFonts w:ascii="Helvetica" w:eastAsia="Times New Roman" w:hAnsi="Helvetica"/>
        </w:rPr>
        <w:t xml:space="preserve"> Irvington, NY.</w:t>
      </w:r>
    </w:p>
    <w:p w14:paraId="69CFB498" w14:textId="59AF3EEF" w:rsidR="007F73E0" w:rsidRDefault="007F73E0" w:rsidP="007F73E0">
      <w:pPr>
        <w:rPr>
          <w:rFonts w:ascii="Helvetica" w:hAnsi="Helvetica" w:cs="Times New Roman"/>
          <w:color w:val="000000"/>
        </w:rPr>
      </w:pPr>
    </w:p>
    <w:p w14:paraId="330E3CF4" w14:textId="44452638" w:rsidR="007F73E0" w:rsidRPr="00590A60" w:rsidRDefault="007F73E0" w:rsidP="007F73E0">
      <w:pPr>
        <w:rPr>
          <w:rFonts w:ascii="Helvetica" w:hAnsi="Helvetica" w:cs="Times New Roman"/>
          <w:color w:val="000000"/>
        </w:rPr>
      </w:pPr>
      <w:r w:rsidRPr="00590A60">
        <w:rPr>
          <w:rFonts w:ascii="Helvetica" w:hAnsi="Helvetica" w:cs="Times New Roman"/>
          <w:color w:val="000000"/>
        </w:rPr>
        <w:t>If your town has not yet acted on this issue, share this alert with them as well as with your landscapers, neighbors, landlords, and friends.</w:t>
      </w:r>
    </w:p>
    <w:p w14:paraId="491FB25A" w14:textId="08DAFED8" w:rsidR="007F73E0" w:rsidRPr="00590A60" w:rsidRDefault="007F73E0" w:rsidP="007F73E0">
      <w:pPr>
        <w:rPr>
          <w:rFonts w:ascii="Helvetica" w:hAnsi="Helvetica" w:cs="Times New Roman"/>
          <w:color w:val="000000"/>
        </w:rPr>
      </w:pPr>
      <w:r>
        <w:rPr>
          <w:rFonts w:ascii="Helvetica" w:eastAsia="Times New Roman" w:hAnsi="Helvetica" w:cs="Times New Roman"/>
          <w:i/>
          <w:iCs/>
          <w:noProof/>
          <w:color w:val="000000"/>
        </w:rPr>
        <w:lastRenderedPageBreak/>
        <mc:AlternateContent>
          <mc:Choice Requires="wps">
            <w:drawing>
              <wp:anchor distT="0" distB="0" distL="114300" distR="114300" simplePos="0" relativeHeight="251662336" behindDoc="0" locked="0" layoutInCell="1" allowOverlap="1" wp14:anchorId="0DDE5250" wp14:editId="09239A70">
                <wp:simplePos x="0" y="0"/>
                <wp:positionH relativeFrom="column">
                  <wp:posOffset>3125694</wp:posOffset>
                </wp:positionH>
                <wp:positionV relativeFrom="paragraph">
                  <wp:posOffset>211268</wp:posOffset>
                </wp:positionV>
                <wp:extent cx="3167193" cy="2796988"/>
                <wp:effectExtent l="0" t="0" r="8255" b="10160"/>
                <wp:wrapNone/>
                <wp:docPr id="2" name="Text Box 2"/>
                <wp:cNvGraphicFramePr/>
                <a:graphic xmlns:a="http://schemas.openxmlformats.org/drawingml/2006/main">
                  <a:graphicData uri="http://schemas.microsoft.com/office/word/2010/wordprocessingShape">
                    <wps:wsp>
                      <wps:cNvSpPr txBox="1"/>
                      <wps:spPr>
                        <a:xfrm>
                          <a:off x="0" y="0"/>
                          <a:ext cx="3167193" cy="2796988"/>
                        </a:xfrm>
                        <a:prstGeom prst="rect">
                          <a:avLst/>
                        </a:prstGeom>
                        <a:solidFill>
                          <a:schemeClr val="lt1"/>
                        </a:solidFill>
                        <a:ln w="6350">
                          <a:solidFill>
                            <a:prstClr val="black"/>
                          </a:solidFill>
                        </a:ln>
                      </wps:spPr>
                      <wps:txbx>
                        <w:txbxContent>
                          <w:p w14:paraId="546F5A44" w14:textId="77777777" w:rsidR="007F73E0" w:rsidRDefault="007F73E0" w:rsidP="007F73E0">
                            <w:pPr>
                              <w:rPr>
                                <w:rFonts w:ascii="Helvetica" w:hAnsi="Helvetica"/>
                              </w:rPr>
                            </w:pPr>
                            <w:r w:rsidRPr="00590A60">
                              <w:rPr>
                                <w:rFonts w:ascii="Helvetica" w:hAnsi="Helvetica"/>
                              </w:rPr>
                              <w:t xml:space="preserve">In a recent </w:t>
                            </w:r>
                            <w:hyperlink r:id="rId9" w:history="1">
                              <w:r w:rsidRPr="00590A60">
                                <w:rPr>
                                  <w:rStyle w:val="Hyperlink"/>
                                  <w:rFonts w:ascii="Helvetica" w:hAnsi="Helvetica"/>
                                </w:rPr>
                                <w:t>report</w:t>
                              </w:r>
                            </w:hyperlink>
                            <w:r w:rsidRPr="00590A60">
                              <w:rPr>
                                <w:rFonts w:ascii="Helvetica" w:hAnsi="Helvetica"/>
                              </w:rPr>
                              <w:t xml:space="preserve"> issued by </w:t>
                            </w:r>
                            <w:hyperlink r:id="rId10" w:history="1">
                              <w:r w:rsidRPr="00590A60">
                                <w:rPr>
                                  <w:rStyle w:val="Hyperlink"/>
                                  <w:rFonts w:ascii="Helvetica" w:hAnsi="Helvetica"/>
                                </w:rPr>
                                <w:t>Quiet Communities</w:t>
                              </w:r>
                            </w:hyperlink>
                            <w:r w:rsidRPr="00590A60">
                              <w:rPr>
                                <w:rFonts w:ascii="Helvetica" w:hAnsi="Helvetica"/>
                              </w:rPr>
                              <w:t xml:space="preserve">, the use of gas leaf blowers (GLBs) during the Covid-19 crisis was tied to three specific problems that increased the risks presented by the pandemic:  </w:t>
                            </w:r>
                          </w:p>
                          <w:p w14:paraId="4EE6CC94" w14:textId="77777777" w:rsidR="007F73E0" w:rsidRDefault="007F73E0" w:rsidP="007F73E0">
                            <w:pPr>
                              <w:rPr>
                                <w:rFonts w:ascii="Helvetica" w:hAnsi="Helvetica"/>
                              </w:rPr>
                            </w:pPr>
                            <w:r w:rsidRPr="00590A60">
                              <w:rPr>
                                <w:rFonts w:ascii="Helvetica" w:hAnsi="Helvetica"/>
                              </w:rPr>
                              <w:t>(1) Air pollution from GLBs increases the risk of complications and death from Covid-19</w:t>
                            </w:r>
                          </w:p>
                          <w:p w14:paraId="0743167F" w14:textId="77777777" w:rsidR="007F73E0" w:rsidRDefault="007F73E0" w:rsidP="007F73E0">
                            <w:pPr>
                              <w:rPr>
                                <w:rFonts w:ascii="Helvetica" w:hAnsi="Helvetica"/>
                              </w:rPr>
                            </w:pPr>
                            <w:r w:rsidRPr="00590A60">
                              <w:rPr>
                                <w:rFonts w:ascii="Helvetica" w:hAnsi="Helvetica"/>
                              </w:rPr>
                              <w:t xml:space="preserve">(2) Noise from GLBs creates other health problems, which raise the risk of complications from Covid-19 </w:t>
                            </w:r>
                          </w:p>
                          <w:p w14:paraId="33C2B99D" w14:textId="77777777" w:rsidR="007F73E0" w:rsidRPr="00590A60" w:rsidRDefault="007F73E0" w:rsidP="007F73E0">
                            <w:pPr>
                              <w:rPr>
                                <w:rFonts w:ascii="Helvetica" w:hAnsi="Helvetica"/>
                              </w:rPr>
                            </w:pPr>
                            <w:r w:rsidRPr="00590A60">
                              <w:rPr>
                                <w:rFonts w:ascii="Helvetica" w:hAnsi="Helvetica"/>
                              </w:rPr>
                              <w:t xml:space="preserve">(3) Landscape workers face disproportionate risks from Covid-19 due to GLBs. </w:t>
                            </w:r>
                            <w:r w:rsidRPr="00590A60">
                              <w:rPr>
                                <w:rFonts w:ascii="Helvetica" w:hAnsi="Helvetica"/>
                                <w:i/>
                              </w:rPr>
                              <w:t xml:space="preserve"> </w:t>
                            </w:r>
                          </w:p>
                          <w:p w14:paraId="2C9EA022" w14:textId="77777777" w:rsidR="007F73E0" w:rsidRDefault="007F73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DE5250" id="_x0000_t202" coordsize="21600,21600" o:spt="202" path="m,l,21600r21600,l21600,xe">
                <v:stroke joinstyle="miter"/>
                <v:path gradientshapeok="t" o:connecttype="rect"/>
              </v:shapetype>
              <v:shape id="Text Box 2" o:spid="_x0000_s1026" type="#_x0000_t202" style="position:absolute;margin-left:246.1pt;margin-top:16.65pt;width:249.4pt;height:2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" fillcolor="white [3201]" strokeweight=".5pt">
                <v:textbox>
                  <w:txbxContent>
                    <w:p w14:paraId="546F5A44" w14:textId="77777777" w:rsidR="007F73E0" w:rsidRDefault="007F73E0" w:rsidP="007F73E0">
                      <w:pPr>
                        <w:rPr>
                          <w:rFonts w:ascii="Helvetica" w:hAnsi="Helvetica"/>
                        </w:rPr>
                      </w:pPr>
                      <w:r w:rsidRPr="00590A60">
                        <w:rPr>
                          <w:rFonts w:ascii="Helvetica" w:hAnsi="Helvetica"/>
                        </w:rPr>
                        <w:t xml:space="preserve">In a recent </w:t>
                      </w:r>
                      <w:hyperlink r:id="rId11" w:history="1">
                        <w:r w:rsidRPr="00590A60">
                          <w:rPr>
                            <w:rStyle w:val="Hyperlink"/>
                            <w:rFonts w:ascii="Helvetica" w:hAnsi="Helvetica"/>
                          </w:rPr>
                          <w:t>report</w:t>
                        </w:r>
                      </w:hyperlink>
                      <w:r w:rsidRPr="00590A60">
                        <w:rPr>
                          <w:rFonts w:ascii="Helvetica" w:hAnsi="Helvetica"/>
                        </w:rPr>
                        <w:t xml:space="preserve"> issued by </w:t>
                      </w:r>
                      <w:hyperlink r:id="rId12" w:history="1">
                        <w:r w:rsidRPr="00590A60">
                          <w:rPr>
                            <w:rStyle w:val="Hyperlink"/>
                            <w:rFonts w:ascii="Helvetica" w:hAnsi="Helvetica"/>
                          </w:rPr>
                          <w:t>Quiet Communities</w:t>
                        </w:r>
                      </w:hyperlink>
                      <w:r w:rsidRPr="00590A60">
                        <w:rPr>
                          <w:rFonts w:ascii="Helvetica" w:hAnsi="Helvetica"/>
                        </w:rPr>
                        <w:t xml:space="preserve">, the use of gas leaf blowers (GLBs) during the Covid-19 crisis was tied to three specific problems that increased the risks presented by the pandemic:  </w:t>
                      </w:r>
                    </w:p>
                    <w:p w14:paraId="4EE6CC94" w14:textId="77777777" w:rsidR="007F73E0" w:rsidRDefault="007F73E0" w:rsidP="007F73E0">
                      <w:pPr>
                        <w:rPr>
                          <w:rFonts w:ascii="Helvetica" w:hAnsi="Helvetica"/>
                        </w:rPr>
                      </w:pPr>
                      <w:r w:rsidRPr="00590A60">
                        <w:rPr>
                          <w:rFonts w:ascii="Helvetica" w:hAnsi="Helvetica"/>
                        </w:rPr>
                        <w:t>(1) Air pollution from GLBs increases the risk of complications and death from Covid-19</w:t>
                      </w:r>
                    </w:p>
                    <w:p w14:paraId="0743167F" w14:textId="77777777" w:rsidR="007F73E0" w:rsidRDefault="007F73E0" w:rsidP="007F73E0">
                      <w:pPr>
                        <w:rPr>
                          <w:rFonts w:ascii="Helvetica" w:hAnsi="Helvetica"/>
                        </w:rPr>
                      </w:pPr>
                      <w:r w:rsidRPr="00590A60">
                        <w:rPr>
                          <w:rFonts w:ascii="Helvetica" w:hAnsi="Helvetica"/>
                        </w:rPr>
                        <w:t xml:space="preserve">(2) Noise from GLBs creates other health problems, which raise the risk of complications from Covid-19 </w:t>
                      </w:r>
                    </w:p>
                    <w:p w14:paraId="33C2B99D" w14:textId="77777777" w:rsidR="007F73E0" w:rsidRPr="00590A60" w:rsidRDefault="007F73E0" w:rsidP="007F73E0">
                      <w:pPr>
                        <w:rPr>
                          <w:rFonts w:ascii="Helvetica" w:hAnsi="Helvetica"/>
                        </w:rPr>
                      </w:pPr>
                      <w:r w:rsidRPr="00590A60">
                        <w:rPr>
                          <w:rFonts w:ascii="Helvetica" w:hAnsi="Helvetica"/>
                        </w:rPr>
                        <w:t xml:space="preserve">(3) Landscape workers face disproportionate risks from Covid-19 due to GLBs. </w:t>
                      </w:r>
                      <w:r w:rsidRPr="00590A60">
                        <w:rPr>
                          <w:rFonts w:ascii="Helvetica" w:hAnsi="Helvetica"/>
                          <w:i/>
                        </w:rPr>
                        <w:t xml:space="preserve"> </w:t>
                      </w:r>
                    </w:p>
                    <w:p w14:paraId="2C9EA022" w14:textId="77777777" w:rsidR="007F73E0" w:rsidRDefault="007F73E0"/>
                  </w:txbxContent>
                </v:textbox>
              </v:shape>
            </w:pict>
          </mc:Fallback>
        </mc:AlternateContent>
      </w:r>
    </w:p>
    <w:p w14:paraId="495D022E" w14:textId="4C2A2BB1" w:rsidR="007F73E0" w:rsidRDefault="007F73E0" w:rsidP="007F73E0">
      <w:pPr>
        <w:rPr>
          <w:rFonts w:ascii="Helvetica" w:eastAsia="Times New Roman" w:hAnsi="Helvetica" w:cs="Times New Roman"/>
          <w:i/>
          <w:iCs/>
          <w:color w:val="000000"/>
        </w:rPr>
      </w:pPr>
      <w:r w:rsidRPr="008F61C4">
        <w:rPr>
          <w:rFonts w:ascii="Helvetica" w:eastAsia="Times New Roman" w:hAnsi="Helvetica" w:cs="Times New Roman"/>
          <w:i/>
          <w:iCs/>
          <w:color w:val="000000"/>
        </w:rPr>
        <w:t xml:space="preserve">Valerie </w:t>
      </w:r>
      <w:proofErr w:type="spellStart"/>
      <w:r w:rsidRPr="008F61C4">
        <w:rPr>
          <w:rFonts w:ascii="Helvetica" w:eastAsia="Times New Roman" w:hAnsi="Helvetica" w:cs="Times New Roman"/>
          <w:i/>
          <w:iCs/>
          <w:color w:val="000000"/>
        </w:rPr>
        <w:t>Seiling</w:t>
      </w:r>
      <w:proofErr w:type="spellEnd"/>
      <w:r w:rsidRPr="008F61C4">
        <w:rPr>
          <w:rFonts w:ascii="Helvetica" w:eastAsia="Times New Roman" w:hAnsi="Helvetica" w:cs="Times New Roman"/>
          <w:i/>
          <w:iCs/>
          <w:color w:val="000000"/>
        </w:rPr>
        <w:t xml:space="preserve"> Jacobs is on the faculty at Columbia University, where she teaches writing. Valerie holds a Bachelor of Science and law degree from Cornell University. She lives with her family in Westport, Connecticut, where she is active in land use and environmental matters.</w:t>
      </w:r>
    </w:p>
    <w:p w14:paraId="102968BE" w14:textId="77777777" w:rsidR="007F73E0" w:rsidRDefault="007F73E0" w:rsidP="007F73E0">
      <w:pPr>
        <w:rPr>
          <w:rFonts w:ascii="Helvetica" w:eastAsia="Times New Roman" w:hAnsi="Helvetica" w:cs="Times New Roman"/>
          <w:i/>
          <w:iCs/>
          <w:color w:val="000000"/>
        </w:rPr>
      </w:pPr>
    </w:p>
    <w:p w14:paraId="1FA4062F" w14:textId="368DC675" w:rsidR="007F73E0" w:rsidRPr="00702C27" w:rsidRDefault="007F73E0" w:rsidP="007F73E0">
      <w:pPr>
        <w:rPr>
          <w:rFonts w:ascii="Helvetica" w:eastAsia="Times New Roman" w:hAnsi="Helvetica" w:cs="Times New Roman"/>
          <w:i/>
          <w:iCs/>
        </w:rPr>
      </w:pPr>
      <w:r w:rsidRPr="00702C27">
        <w:rPr>
          <w:rFonts w:ascii="Helvetica" w:eastAsia="Times New Roman" w:hAnsi="Helvetica" w:cs="Times New Roman"/>
          <w:i/>
          <w:iCs/>
          <w:color w:val="000000"/>
        </w:rPr>
        <w:t xml:space="preserve">Chet </w:t>
      </w:r>
      <w:proofErr w:type="gramStart"/>
      <w:r w:rsidRPr="00702C27">
        <w:rPr>
          <w:rFonts w:ascii="Helvetica" w:eastAsia="Times New Roman" w:hAnsi="Helvetica" w:cs="Times New Roman"/>
          <w:i/>
          <w:iCs/>
          <w:color w:val="000000"/>
        </w:rPr>
        <w:t>Kerr  Chet</w:t>
      </w:r>
      <w:proofErr w:type="gramEnd"/>
      <w:r w:rsidRPr="00702C27">
        <w:rPr>
          <w:rFonts w:ascii="Helvetica" w:eastAsia="Times New Roman" w:hAnsi="Helvetica" w:cs="Times New Roman"/>
          <w:i/>
          <w:iCs/>
          <w:color w:val="000000"/>
        </w:rPr>
        <w:t xml:space="preserve"> is a member of the Pollinator Pathway Northeast steering committee, heads the Irvington, NY Pollinator Pathway, and has been instrumental in helping spread the Pollinator Pathway to the river towns along the Hudson River.  After practicing law for over 30 years, Chet left his firm in 2016 to do new and different things. In addition to his work on the Pollinator Pathway, Chet teaches, works on Civil Rights and Criminal Justice reform issues, and serves on several Boards, including the Greater Irvington Land Trust, the Lawyers Committee for Civil Rights and the Irvington Historical Society.</w:t>
      </w:r>
    </w:p>
    <w:p w14:paraId="1E729903" w14:textId="77777777" w:rsidR="0072500F" w:rsidRDefault="007F73E0"/>
    <w:sectPr w:rsidR="0072500F" w:rsidSect="007F73E0">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E0"/>
    <w:rsid w:val="00687953"/>
    <w:rsid w:val="007F73E0"/>
    <w:rsid w:val="00827C46"/>
    <w:rsid w:val="00862F3F"/>
    <w:rsid w:val="00A32F9A"/>
    <w:rsid w:val="00D34F89"/>
    <w:rsid w:val="00D94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AD48E"/>
  <w15:chartTrackingRefBased/>
  <w15:docId w15:val="{D81FD6F7-89FE-1E44-A473-4B2159BC4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3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3E0"/>
    <w:rPr>
      <w:color w:val="0000FF"/>
      <w:u w:val="single"/>
    </w:rPr>
  </w:style>
  <w:style w:type="character" w:styleId="FollowedHyperlink">
    <w:name w:val="FollowedHyperlink"/>
    <w:basedOn w:val="DefaultParagraphFont"/>
    <w:uiPriority w:val="99"/>
    <w:semiHidden/>
    <w:unhideWhenUsed/>
    <w:rsid w:val="007F73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rrytowngov.com/home/news/resolution-to-ban-the-use-of-leaf-blowers-to-prevent-the-spread-of-covid-19-coronaviru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jects.iq.harvard.edu/covid-pm" TargetMode="External"/><Relationship Id="rId12" Type="http://schemas.openxmlformats.org/officeDocument/2006/relationships/hyperlink" Target="https://www.quietcommunitie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www.quietcommunities.org/wp-content/uploads/2020/05/FINAL-QC_White-Paper_GLBs-COVID_v1.2_2020.05.03.pdf" TargetMode="External"/><Relationship Id="rId5" Type="http://schemas.openxmlformats.org/officeDocument/2006/relationships/hyperlink" Target="https://www.quietcommunities.org/" TargetMode="External"/><Relationship Id="rId10" Type="http://schemas.openxmlformats.org/officeDocument/2006/relationships/hyperlink" Target="https://www.quietcommunities.org/" TargetMode="External"/><Relationship Id="rId4" Type="http://schemas.openxmlformats.org/officeDocument/2006/relationships/image" Target="media/image1.jpeg"/><Relationship Id="rId9" Type="http://schemas.openxmlformats.org/officeDocument/2006/relationships/hyperlink" Target="https://www.quietcommunities.org/wp-content/uploads/2020/05/FINAL-QC_White-Paper_GLBs-COVID_v1.2_2020.05.0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Washer</dc:creator>
  <cp:keywords/>
  <dc:description/>
  <cp:lastModifiedBy>Louise Washer</cp:lastModifiedBy>
  <cp:revision>1</cp:revision>
  <dcterms:created xsi:type="dcterms:W3CDTF">2020-05-18T05:20:00Z</dcterms:created>
  <dcterms:modified xsi:type="dcterms:W3CDTF">2020-05-18T05:27:00Z</dcterms:modified>
</cp:coreProperties>
</file>