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09" w:rsidRPr="00872F0B" w:rsidRDefault="00735E09" w:rsidP="00507ECD">
      <w:pPr>
        <w:pStyle w:val="Heading1"/>
        <w:spacing w:before="0"/>
        <w:jc w:val="center"/>
        <w:rPr>
          <w:rFonts w:asciiTheme="minorHAnsi" w:eastAsia="Times New Roman" w:hAnsiTheme="minorHAnsi"/>
          <w:color w:val="auto"/>
          <w:sz w:val="20"/>
          <w:szCs w:val="20"/>
        </w:rPr>
      </w:pPr>
      <w:bookmarkStart w:id="0" w:name="_GoBack"/>
      <w:bookmarkEnd w:id="0"/>
    </w:p>
    <w:p w:rsidR="006177D7" w:rsidRPr="00507ECD" w:rsidRDefault="006177D7" w:rsidP="00507ECD">
      <w:pPr>
        <w:pStyle w:val="Heading1"/>
        <w:spacing w:before="0"/>
        <w:jc w:val="center"/>
        <w:rPr>
          <w:rFonts w:asciiTheme="minorHAnsi" w:eastAsia="Times New Roman" w:hAnsiTheme="minorHAnsi"/>
          <w:color w:val="auto"/>
          <w:sz w:val="32"/>
        </w:rPr>
      </w:pPr>
      <w:r w:rsidRPr="00507ECD">
        <w:rPr>
          <w:rFonts w:asciiTheme="minorHAnsi" w:eastAsia="Times New Roman" w:hAnsiTheme="minorHAnsi"/>
          <w:color w:val="auto"/>
          <w:sz w:val="32"/>
        </w:rPr>
        <w:t>Crain</w:t>
      </w:r>
      <w:r w:rsidR="0065599C">
        <w:rPr>
          <w:rFonts w:asciiTheme="minorHAnsi" w:eastAsia="Times New Roman" w:hAnsiTheme="minorHAnsi"/>
          <w:color w:val="auto"/>
          <w:sz w:val="32"/>
        </w:rPr>
        <w:t>’</w:t>
      </w:r>
      <w:r w:rsidRPr="00507ECD">
        <w:rPr>
          <w:rFonts w:asciiTheme="minorHAnsi" w:eastAsia="Times New Roman" w:hAnsiTheme="minorHAnsi"/>
          <w:color w:val="auto"/>
          <w:sz w:val="32"/>
        </w:rPr>
        <w:t xml:space="preserve">s Gets It Wrong </w:t>
      </w:r>
      <w:r w:rsidR="00617111">
        <w:rPr>
          <w:rFonts w:asciiTheme="minorHAnsi" w:eastAsia="Times New Roman" w:hAnsiTheme="minorHAnsi"/>
          <w:color w:val="auto"/>
          <w:sz w:val="32"/>
        </w:rPr>
        <w:t>o</w:t>
      </w:r>
      <w:r w:rsidRPr="00507ECD">
        <w:rPr>
          <w:rFonts w:asciiTheme="minorHAnsi" w:eastAsia="Times New Roman" w:hAnsiTheme="minorHAnsi"/>
          <w:color w:val="auto"/>
          <w:sz w:val="32"/>
        </w:rPr>
        <w:t xml:space="preserve">n </w:t>
      </w:r>
      <w:r w:rsidR="00507ECD" w:rsidRPr="00507ECD">
        <w:rPr>
          <w:rFonts w:asciiTheme="minorHAnsi" w:eastAsia="Times New Roman" w:hAnsiTheme="minorHAnsi"/>
          <w:color w:val="auto"/>
          <w:sz w:val="32"/>
        </w:rPr>
        <w:t>the</w:t>
      </w:r>
      <w:r w:rsidRPr="00507ECD">
        <w:rPr>
          <w:rFonts w:asciiTheme="minorHAnsi" w:eastAsia="Times New Roman" w:hAnsiTheme="minorHAnsi"/>
          <w:color w:val="auto"/>
          <w:sz w:val="32"/>
        </w:rPr>
        <w:t xml:space="preserve"> </w:t>
      </w:r>
      <w:r w:rsidR="00617111">
        <w:rPr>
          <w:rFonts w:asciiTheme="minorHAnsi" w:eastAsia="Times New Roman" w:hAnsiTheme="minorHAnsi"/>
          <w:color w:val="auto"/>
          <w:sz w:val="32"/>
        </w:rPr>
        <w:t>Worker Safety</w:t>
      </w:r>
      <w:r w:rsidRPr="00507ECD">
        <w:rPr>
          <w:rFonts w:asciiTheme="minorHAnsi" w:eastAsia="Times New Roman" w:hAnsiTheme="minorHAnsi"/>
          <w:color w:val="auto"/>
          <w:sz w:val="32"/>
        </w:rPr>
        <w:t xml:space="preserve"> Law</w:t>
      </w:r>
    </w:p>
    <w:p w:rsidR="006177D7" w:rsidRDefault="006177D7" w:rsidP="00690DF8">
      <w:pPr>
        <w:spacing w:after="0" w:line="240" w:lineRule="auto"/>
        <w:rPr>
          <w:rFonts w:eastAsia="Times New Roman" w:cs="Arial"/>
          <w:b/>
          <w:sz w:val="12"/>
          <w:szCs w:val="12"/>
        </w:rPr>
      </w:pPr>
    </w:p>
    <w:p w:rsidR="008D6504" w:rsidRPr="00735E09" w:rsidRDefault="008D6504" w:rsidP="00690DF8">
      <w:pPr>
        <w:spacing w:after="0" w:line="240" w:lineRule="auto"/>
        <w:rPr>
          <w:rFonts w:eastAsia="Times New Roman" w:cs="Arial"/>
          <w:b/>
          <w:sz w:val="21"/>
          <w:szCs w:val="21"/>
        </w:rPr>
      </w:pPr>
      <w:r w:rsidRPr="00735E09">
        <w:rPr>
          <w:sz w:val="21"/>
          <w:szCs w:val="21"/>
        </w:rPr>
        <w:t>On Friday, June 6</w:t>
      </w:r>
      <w:r w:rsidRPr="00735E09">
        <w:rPr>
          <w:sz w:val="21"/>
          <w:szCs w:val="21"/>
          <w:vertAlign w:val="superscript"/>
        </w:rPr>
        <w:t>th</w:t>
      </w:r>
      <w:r w:rsidRPr="00735E09">
        <w:rPr>
          <w:sz w:val="21"/>
          <w:szCs w:val="21"/>
        </w:rPr>
        <w:t xml:space="preserve">, Crain's New York Business attacked Labor Law 240/241, the Worker Safety Law, making a series of baseless claims and advocating for the repeal of this </w:t>
      </w:r>
      <w:r w:rsidRPr="00735E09">
        <w:rPr>
          <w:b/>
          <w:sz w:val="21"/>
          <w:szCs w:val="21"/>
        </w:rPr>
        <w:t>critical law that saves lives</w:t>
      </w:r>
      <w:r w:rsidR="00666C17" w:rsidRPr="00735E09">
        <w:rPr>
          <w:b/>
          <w:sz w:val="21"/>
          <w:szCs w:val="21"/>
        </w:rPr>
        <w:t>:</w:t>
      </w:r>
    </w:p>
    <w:p w:rsidR="008D6504" w:rsidRPr="00735E09" w:rsidRDefault="008D6504" w:rsidP="00690DF8">
      <w:pPr>
        <w:spacing w:after="0" w:line="240" w:lineRule="auto"/>
        <w:rPr>
          <w:rFonts w:eastAsia="Times New Roman" w:cs="Arial"/>
          <w:b/>
          <w:sz w:val="21"/>
          <w:szCs w:val="21"/>
        </w:rPr>
      </w:pPr>
    </w:p>
    <w:p w:rsidR="0055561A" w:rsidRPr="00735E09" w:rsidRDefault="0055561A" w:rsidP="00690DF8">
      <w:pPr>
        <w:spacing w:after="0" w:line="240" w:lineRule="auto"/>
        <w:rPr>
          <w:sz w:val="21"/>
          <w:szCs w:val="21"/>
        </w:rPr>
      </w:pPr>
      <w:r w:rsidRPr="00735E09">
        <w:rPr>
          <w:rFonts w:eastAsia="Times New Roman" w:cs="Arial"/>
          <w:b/>
          <w:sz w:val="21"/>
          <w:szCs w:val="21"/>
        </w:rPr>
        <w:t>It is not true that the Scaffold Law</w:t>
      </w:r>
      <w:r w:rsidR="008D6504" w:rsidRPr="00735E09">
        <w:rPr>
          <w:rFonts w:eastAsia="Times New Roman" w:cs="Arial"/>
          <w:b/>
          <w:sz w:val="21"/>
          <w:szCs w:val="21"/>
        </w:rPr>
        <w:t xml:space="preserve"> automatically</w:t>
      </w:r>
      <w:r w:rsidRPr="00735E09">
        <w:rPr>
          <w:rFonts w:eastAsia="Times New Roman" w:cs="Arial"/>
          <w:b/>
          <w:sz w:val="21"/>
          <w:szCs w:val="21"/>
        </w:rPr>
        <w:t xml:space="preserve"> “holds property owners and employers liable for all damages when a worker is injured in a gravity-related </w:t>
      </w:r>
      <w:r w:rsidR="006177D7" w:rsidRPr="00735E09">
        <w:rPr>
          <w:rFonts w:eastAsia="Times New Roman" w:cs="Arial"/>
          <w:b/>
          <w:sz w:val="21"/>
          <w:szCs w:val="21"/>
        </w:rPr>
        <w:t>acciden</w:t>
      </w:r>
      <w:r w:rsidRPr="00735E09">
        <w:rPr>
          <w:rFonts w:eastAsia="Times New Roman" w:cs="Arial"/>
          <w:b/>
          <w:sz w:val="21"/>
          <w:szCs w:val="21"/>
        </w:rPr>
        <w:t>t.”</w:t>
      </w:r>
      <w:r w:rsidRPr="00735E09">
        <w:rPr>
          <w:rFonts w:eastAsia="Times New Roman" w:cs="Arial"/>
          <w:sz w:val="21"/>
          <w:szCs w:val="21"/>
        </w:rPr>
        <w:t xml:space="preserve">   </w:t>
      </w:r>
      <w:r w:rsidR="00882253" w:rsidRPr="00735E09">
        <w:rPr>
          <w:rFonts w:eastAsia="Times New Roman" w:cs="Arial"/>
          <w:sz w:val="21"/>
          <w:szCs w:val="21"/>
        </w:rPr>
        <w:t xml:space="preserve"> </w:t>
      </w:r>
      <w:r w:rsidRPr="00735E09">
        <w:rPr>
          <w:rFonts w:eastAsia="Times New Roman" w:cs="Arial"/>
          <w:sz w:val="21"/>
          <w:szCs w:val="21"/>
        </w:rPr>
        <w:t xml:space="preserve">Property owners and contractors </w:t>
      </w:r>
      <w:r w:rsidR="007B5D68" w:rsidRPr="00735E09">
        <w:rPr>
          <w:rFonts w:eastAsia="Times New Roman" w:cs="Arial"/>
          <w:sz w:val="21"/>
          <w:szCs w:val="21"/>
        </w:rPr>
        <w:t xml:space="preserve">can be held </w:t>
      </w:r>
      <w:r w:rsidRPr="00735E09">
        <w:rPr>
          <w:rFonts w:eastAsia="Times New Roman" w:cs="Arial"/>
          <w:sz w:val="21"/>
          <w:szCs w:val="21"/>
        </w:rPr>
        <w:t xml:space="preserve">liable only </w:t>
      </w:r>
      <w:r w:rsidR="00666C17" w:rsidRPr="00735E09">
        <w:rPr>
          <w:sz w:val="21"/>
          <w:szCs w:val="21"/>
        </w:rPr>
        <w:t>when they</w:t>
      </w:r>
      <w:r w:rsidRPr="00735E09">
        <w:rPr>
          <w:sz w:val="21"/>
          <w:szCs w:val="21"/>
        </w:rPr>
        <w:t xml:space="preserve"> fail to observe the law – to provide safe equipment necessary for </w:t>
      </w:r>
      <w:r w:rsidR="00A91735" w:rsidRPr="00735E09">
        <w:rPr>
          <w:sz w:val="21"/>
          <w:szCs w:val="21"/>
        </w:rPr>
        <w:t xml:space="preserve">work </w:t>
      </w:r>
      <w:r w:rsidRPr="00735E09">
        <w:rPr>
          <w:sz w:val="21"/>
          <w:szCs w:val="21"/>
        </w:rPr>
        <w:t xml:space="preserve">at heights – </w:t>
      </w:r>
      <w:r w:rsidR="00666C17" w:rsidRPr="00735E09">
        <w:rPr>
          <w:sz w:val="21"/>
          <w:szCs w:val="21"/>
        </w:rPr>
        <w:t xml:space="preserve">causing </w:t>
      </w:r>
      <w:r w:rsidRPr="00735E09">
        <w:rPr>
          <w:sz w:val="21"/>
          <w:szCs w:val="21"/>
        </w:rPr>
        <w:t>injur</w:t>
      </w:r>
      <w:r w:rsidR="00666C17" w:rsidRPr="00735E09">
        <w:rPr>
          <w:sz w:val="21"/>
          <w:szCs w:val="21"/>
        </w:rPr>
        <w:t>y</w:t>
      </w:r>
      <w:r w:rsidRPr="00735E09">
        <w:rPr>
          <w:sz w:val="21"/>
          <w:szCs w:val="21"/>
        </w:rPr>
        <w:t xml:space="preserve">.   They can avoid </w:t>
      </w:r>
      <w:r w:rsidR="007B5D68" w:rsidRPr="00735E09">
        <w:rPr>
          <w:sz w:val="21"/>
          <w:szCs w:val="21"/>
        </w:rPr>
        <w:t xml:space="preserve">all </w:t>
      </w:r>
      <w:r w:rsidRPr="00735E09">
        <w:rPr>
          <w:sz w:val="21"/>
          <w:szCs w:val="21"/>
        </w:rPr>
        <w:t xml:space="preserve">liability simply by </w:t>
      </w:r>
      <w:r w:rsidR="008D2E76" w:rsidRPr="00735E09">
        <w:rPr>
          <w:sz w:val="21"/>
          <w:szCs w:val="21"/>
        </w:rPr>
        <w:t>complying with the statute and ensuring workplace safety</w:t>
      </w:r>
      <w:r w:rsidR="00A91735" w:rsidRPr="00735E09">
        <w:rPr>
          <w:sz w:val="21"/>
          <w:szCs w:val="21"/>
        </w:rPr>
        <w:t>.</w:t>
      </w:r>
    </w:p>
    <w:p w:rsidR="00882253" w:rsidRPr="00735E09" w:rsidRDefault="00882253" w:rsidP="00690DF8">
      <w:pPr>
        <w:spacing w:after="0" w:line="240" w:lineRule="auto"/>
        <w:jc w:val="center"/>
        <w:rPr>
          <w:sz w:val="10"/>
          <w:szCs w:val="10"/>
        </w:rPr>
      </w:pPr>
    </w:p>
    <w:p w:rsidR="0055561A" w:rsidRPr="00735E09" w:rsidRDefault="0055561A" w:rsidP="00690DF8">
      <w:pPr>
        <w:spacing w:after="0" w:line="240" w:lineRule="auto"/>
        <w:rPr>
          <w:rFonts w:eastAsia="Times New Roman" w:cs="Arial"/>
          <w:sz w:val="21"/>
          <w:szCs w:val="21"/>
        </w:rPr>
      </w:pPr>
      <w:r w:rsidRPr="00735E09">
        <w:rPr>
          <w:b/>
          <w:sz w:val="21"/>
          <w:szCs w:val="21"/>
        </w:rPr>
        <w:t xml:space="preserve">It is </w:t>
      </w:r>
      <w:r w:rsidR="008D6504" w:rsidRPr="00735E09">
        <w:rPr>
          <w:b/>
          <w:sz w:val="21"/>
          <w:szCs w:val="21"/>
        </w:rPr>
        <w:t>absolutely false</w:t>
      </w:r>
      <w:r w:rsidRPr="00735E09">
        <w:rPr>
          <w:b/>
          <w:sz w:val="21"/>
          <w:szCs w:val="21"/>
        </w:rPr>
        <w:t xml:space="preserve"> that in New </w:t>
      </w:r>
      <w:r w:rsidRPr="00735E09">
        <w:rPr>
          <w:rFonts w:eastAsia="Times New Roman" w:cs="Arial"/>
          <w:b/>
          <w:sz w:val="21"/>
          <w:szCs w:val="21"/>
        </w:rPr>
        <w:t xml:space="preserve">York “a worker's negligence </w:t>
      </w:r>
      <w:r w:rsidR="00A91735" w:rsidRPr="00735E09">
        <w:rPr>
          <w:rFonts w:eastAsia="Times New Roman" w:cs="Arial"/>
          <w:b/>
          <w:sz w:val="21"/>
          <w:szCs w:val="21"/>
        </w:rPr>
        <w:t xml:space="preserve">is </w:t>
      </w:r>
      <w:r w:rsidRPr="00735E09">
        <w:rPr>
          <w:rFonts w:eastAsia="Times New Roman" w:cs="Arial"/>
          <w:b/>
          <w:sz w:val="21"/>
          <w:szCs w:val="21"/>
        </w:rPr>
        <w:t>irrelevant, even if his drunkenness or disregard for safety rules led to the injury.”</w:t>
      </w:r>
      <w:r w:rsidRPr="00735E09">
        <w:rPr>
          <w:rFonts w:eastAsia="Times New Roman" w:cs="Arial"/>
          <w:sz w:val="21"/>
          <w:szCs w:val="21"/>
        </w:rPr>
        <w:t xml:space="preserve">  A</w:t>
      </w:r>
      <w:r w:rsidR="008C0D07" w:rsidRPr="00735E09">
        <w:rPr>
          <w:rFonts w:eastAsia="Times New Roman" w:cs="Arial"/>
          <w:sz w:val="21"/>
          <w:szCs w:val="21"/>
        </w:rPr>
        <w:t xml:space="preserve"> worker whose intoxication</w:t>
      </w:r>
      <w:r w:rsidR="00882253" w:rsidRPr="00735E09">
        <w:rPr>
          <w:rFonts w:eastAsia="Times New Roman" w:cs="Arial"/>
          <w:sz w:val="21"/>
          <w:szCs w:val="21"/>
        </w:rPr>
        <w:t xml:space="preserve"> was the </w:t>
      </w:r>
      <w:r w:rsidR="00666C17" w:rsidRPr="00735E09">
        <w:rPr>
          <w:rFonts w:eastAsia="Times New Roman" w:cs="Arial"/>
          <w:sz w:val="21"/>
          <w:szCs w:val="21"/>
        </w:rPr>
        <w:t>sole</w:t>
      </w:r>
      <w:r w:rsidR="00567C0D" w:rsidRPr="00735E09">
        <w:rPr>
          <w:rFonts w:eastAsia="Times New Roman" w:cs="Arial"/>
          <w:sz w:val="21"/>
          <w:szCs w:val="21"/>
        </w:rPr>
        <w:t xml:space="preserve"> </w:t>
      </w:r>
      <w:r w:rsidRPr="00735E09">
        <w:rPr>
          <w:rFonts w:eastAsia="Times New Roman" w:cs="Arial"/>
          <w:sz w:val="21"/>
          <w:szCs w:val="21"/>
        </w:rPr>
        <w:t xml:space="preserve">cause of their injury cannot recover under the Scaffold Law. </w:t>
      </w:r>
      <w:r w:rsidR="00A91735" w:rsidRPr="00735E09">
        <w:rPr>
          <w:rFonts w:eastAsia="Times New Roman" w:cs="Arial"/>
          <w:sz w:val="21"/>
          <w:szCs w:val="21"/>
        </w:rPr>
        <w:t xml:space="preserve">  </w:t>
      </w:r>
      <w:r w:rsidR="00567C0D" w:rsidRPr="00735E09">
        <w:rPr>
          <w:rFonts w:eastAsia="Times New Roman" w:cs="Arial"/>
          <w:sz w:val="21"/>
          <w:szCs w:val="21"/>
        </w:rPr>
        <w:t xml:space="preserve">A </w:t>
      </w:r>
      <w:proofErr w:type="gramStart"/>
      <w:r w:rsidR="008D2E76" w:rsidRPr="00735E09">
        <w:rPr>
          <w:rFonts w:eastAsia="Times New Roman" w:cs="Arial"/>
          <w:sz w:val="21"/>
          <w:szCs w:val="21"/>
        </w:rPr>
        <w:t>worker</w:t>
      </w:r>
      <w:proofErr w:type="gramEnd"/>
      <w:r w:rsidR="008D2E76" w:rsidRPr="00735E09">
        <w:rPr>
          <w:rFonts w:eastAsia="Times New Roman" w:cs="Arial"/>
          <w:sz w:val="21"/>
          <w:szCs w:val="21"/>
        </w:rPr>
        <w:t xml:space="preserve"> who fails to follow safety directions</w:t>
      </w:r>
      <w:r w:rsidR="008D6504" w:rsidRPr="00735E09">
        <w:rPr>
          <w:rFonts w:eastAsia="Times New Roman" w:cs="Arial"/>
          <w:sz w:val="21"/>
          <w:szCs w:val="21"/>
        </w:rPr>
        <w:t>, thereby causing their own injuries,</w:t>
      </w:r>
      <w:r w:rsidR="008D2E76" w:rsidRPr="00735E09">
        <w:rPr>
          <w:rFonts w:eastAsia="Times New Roman" w:cs="Arial"/>
          <w:sz w:val="21"/>
          <w:szCs w:val="21"/>
        </w:rPr>
        <w:t xml:space="preserve"> cannot recover either</w:t>
      </w:r>
      <w:r w:rsidR="00567C0D" w:rsidRPr="00735E09">
        <w:rPr>
          <w:rFonts w:eastAsia="Times New Roman" w:cs="Arial"/>
          <w:sz w:val="21"/>
          <w:szCs w:val="21"/>
        </w:rPr>
        <w:t>.</w:t>
      </w:r>
    </w:p>
    <w:p w:rsidR="00666C17" w:rsidRPr="00735E09" w:rsidRDefault="00666C17" w:rsidP="00666C17">
      <w:pPr>
        <w:spacing w:after="0" w:line="240" w:lineRule="auto"/>
        <w:jc w:val="center"/>
        <w:rPr>
          <w:sz w:val="10"/>
          <w:szCs w:val="10"/>
        </w:rPr>
      </w:pPr>
    </w:p>
    <w:p w:rsidR="0055561A" w:rsidRPr="00735E09" w:rsidRDefault="0055561A" w:rsidP="002C7308">
      <w:pPr>
        <w:pStyle w:val="CommentText"/>
        <w:spacing w:after="0"/>
        <w:rPr>
          <w:rFonts w:asciiTheme="minorHAnsi" w:hAnsiTheme="minorHAnsi"/>
          <w:sz w:val="21"/>
          <w:szCs w:val="21"/>
        </w:rPr>
      </w:pPr>
      <w:r w:rsidRPr="00735E09">
        <w:rPr>
          <w:rFonts w:asciiTheme="minorHAnsi" w:eastAsia="Times New Roman" w:hAnsiTheme="minorHAnsi" w:cs="Arial"/>
          <w:b/>
          <w:sz w:val="21"/>
          <w:szCs w:val="21"/>
        </w:rPr>
        <w:t xml:space="preserve">There is no evidence whatsoever that </w:t>
      </w:r>
      <w:r w:rsidR="002C7308" w:rsidRPr="00735E09">
        <w:rPr>
          <w:rFonts w:asciiTheme="minorHAnsi" w:eastAsia="Times New Roman" w:hAnsiTheme="minorHAnsi" w:cs="Arial"/>
          <w:b/>
          <w:sz w:val="21"/>
          <w:szCs w:val="21"/>
        </w:rPr>
        <w:t>insurance costs have increased,</w:t>
      </w:r>
      <w:r w:rsidR="002144D1" w:rsidRPr="00735E09">
        <w:rPr>
          <w:rFonts w:asciiTheme="minorHAnsi" w:hAnsiTheme="minorHAnsi"/>
          <w:sz w:val="21"/>
          <w:szCs w:val="21"/>
        </w:rPr>
        <w:t xml:space="preserve"> </w:t>
      </w:r>
      <w:r w:rsidR="002C7308" w:rsidRPr="00735E09">
        <w:rPr>
          <w:rFonts w:asciiTheme="minorHAnsi" w:hAnsiTheme="minorHAnsi"/>
          <w:b/>
          <w:sz w:val="21"/>
          <w:szCs w:val="21"/>
        </w:rPr>
        <w:t>nor are there any public statistics on how much contractor’s liability coverage premiums have increased or decreased over the last several years.</w:t>
      </w:r>
      <w:r w:rsidR="002C7308" w:rsidRPr="00735E09">
        <w:rPr>
          <w:rFonts w:asciiTheme="minorHAnsi" w:hAnsiTheme="minorHAnsi"/>
          <w:sz w:val="21"/>
          <w:szCs w:val="21"/>
        </w:rPr>
        <w:t xml:space="preserve">  Until insurers open their books to substantiate their claims, they’re asking the public to take them at their word to water down safety in the name of profit.</w:t>
      </w:r>
      <w:r w:rsidRPr="00735E09">
        <w:rPr>
          <w:rFonts w:asciiTheme="minorHAnsi" w:hAnsiTheme="minorHAnsi"/>
          <w:sz w:val="21"/>
          <w:szCs w:val="21"/>
        </w:rPr>
        <w:t xml:space="preserve"> </w:t>
      </w:r>
    </w:p>
    <w:p w:rsidR="007A65AF" w:rsidRPr="00735E09" w:rsidRDefault="007A65AF" w:rsidP="007A65AF">
      <w:pPr>
        <w:pStyle w:val="CommentText"/>
        <w:spacing w:after="0"/>
        <w:rPr>
          <w:rFonts w:asciiTheme="minorHAnsi" w:hAnsiTheme="minorHAnsi"/>
          <w:sz w:val="10"/>
          <w:szCs w:val="10"/>
        </w:rPr>
      </w:pPr>
    </w:p>
    <w:p w:rsidR="007A65AF" w:rsidRPr="00735E09" w:rsidRDefault="002C7308" w:rsidP="00882253">
      <w:pPr>
        <w:pStyle w:val="CommentText"/>
        <w:spacing w:after="0"/>
        <w:rPr>
          <w:rFonts w:asciiTheme="minorHAnsi" w:hAnsiTheme="minorHAnsi"/>
          <w:sz w:val="21"/>
          <w:szCs w:val="21"/>
        </w:rPr>
      </w:pPr>
      <w:r w:rsidRPr="00735E09">
        <w:rPr>
          <w:rFonts w:asciiTheme="minorHAnsi" w:hAnsiTheme="minorHAnsi"/>
          <w:b/>
          <w:sz w:val="21"/>
          <w:szCs w:val="21"/>
        </w:rPr>
        <w:t>T</w:t>
      </w:r>
      <w:r w:rsidR="007A65AF" w:rsidRPr="00735E09">
        <w:rPr>
          <w:rFonts w:asciiTheme="minorHAnsi" w:hAnsiTheme="minorHAnsi"/>
          <w:b/>
          <w:sz w:val="21"/>
          <w:szCs w:val="21"/>
        </w:rPr>
        <w:t>here is no public profitability data for contractor’s liability coverage.</w:t>
      </w:r>
      <w:r w:rsidR="007A65AF" w:rsidRPr="00735E09">
        <w:rPr>
          <w:rFonts w:asciiTheme="minorHAnsi" w:hAnsiTheme="minorHAnsi"/>
          <w:sz w:val="21"/>
          <w:szCs w:val="21"/>
        </w:rPr>
        <w:t xml:space="preserve">  For all the public knows, insurers are profiteering. </w:t>
      </w:r>
      <w:r w:rsidR="008D6504" w:rsidRPr="00735E09">
        <w:rPr>
          <w:rFonts w:asciiTheme="minorHAnsi" w:hAnsiTheme="minorHAnsi"/>
          <w:sz w:val="21"/>
          <w:szCs w:val="21"/>
        </w:rPr>
        <w:t>T</w:t>
      </w:r>
      <w:r w:rsidR="00666C17" w:rsidRPr="00735E09">
        <w:rPr>
          <w:rFonts w:asciiTheme="minorHAnsi" w:hAnsiTheme="minorHAnsi"/>
          <w:sz w:val="21"/>
          <w:szCs w:val="21"/>
        </w:rPr>
        <w:t>ransparency should rule the day</w:t>
      </w:r>
      <w:r w:rsidR="008D6504" w:rsidRPr="00735E09">
        <w:rPr>
          <w:rFonts w:asciiTheme="minorHAnsi" w:hAnsiTheme="minorHAnsi"/>
          <w:sz w:val="21"/>
          <w:szCs w:val="21"/>
        </w:rPr>
        <w:t xml:space="preserve"> before any discussion of watering down safety on construction sites occurs.</w:t>
      </w:r>
    </w:p>
    <w:p w:rsidR="00666C17" w:rsidRPr="00735E09" w:rsidRDefault="00666C17" w:rsidP="00882253">
      <w:pPr>
        <w:spacing w:after="0" w:line="240" w:lineRule="auto"/>
        <w:rPr>
          <w:rFonts w:eastAsia="Times New Roman" w:cs="Arial"/>
          <w:b/>
          <w:sz w:val="10"/>
          <w:szCs w:val="10"/>
        </w:rPr>
      </w:pPr>
    </w:p>
    <w:p w:rsidR="00690DF8" w:rsidRPr="00735E09" w:rsidRDefault="002144D1" w:rsidP="00882253">
      <w:pPr>
        <w:spacing w:after="0" w:line="240" w:lineRule="auto"/>
        <w:rPr>
          <w:rFonts w:eastAsia="Times New Roman" w:cs="Arial"/>
          <w:sz w:val="21"/>
          <w:szCs w:val="21"/>
        </w:rPr>
      </w:pPr>
      <w:r w:rsidRPr="00735E09">
        <w:rPr>
          <w:rFonts w:eastAsia="Times New Roman" w:cs="Arial"/>
          <w:b/>
          <w:sz w:val="21"/>
          <w:szCs w:val="21"/>
        </w:rPr>
        <w:t xml:space="preserve">It is not true that </w:t>
      </w:r>
      <w:r w:rsidR="00AE1CA6" w:rsidRPr="00735E09">
        <w:rPr>
          <w:rFonts w:eastAsia="Times New Roman" w:cs="Arial"/>
          <w:b/>
          <w:sz w:val="21"/>
          <w:szCs w:val="21"/>
        </w:rPr>
        <w:t xml:space="preserve">repeal of the Illinois Scaffold Law </w:t>
      </w:r>
      <w:r w:rsidRPr="00735E09">
        <w:rPr>
          <w:rFonts w:eastAsia="Times New Roman" w:cs="Arial"/>
          <w:b/>
          <w:sz w:val="21"/>
          <w:szCs w:val="21"/>
        </w:rPr>
        <w:t xml:space="preserve">1995 </w:t>
      </w:r>
      <w:r w:rsidR="00AE1CA6" w:rsidRPr="00735E09">
        <w:rPr>
          <w:rFonts w:eastAsia="Times New Roman" w:cs="Arial"/>
          <w:b/>
          <w:sz w:val="21"/>
          <w:szCs w:val="21"/>
        </w:rPr>
        <w:t xml:space="preserve">led to a construction </w:t>
      </w:r>
      <w:r w:rsidRPr="00735E09">
        <w:rPr>
          <w:rFonts w:eastAsia="Times New Roman" w:cs="Arial"/>
          <w:b/>
          <w:sz w:val="21"/>
          <w:szCs w:val="21"/>
        </w:rPr>
        <w:t>employment</w:t>
      </w:r>
      <w:r w:rsidR="00AE1CA6" w:rsidRPr="00735E09">
        <w:rPr>
          <w:rFonts w:eastAsia="Times New Roman" w:cs="Arial"/>
          <w:b/>
          <w:sz w:val="21"/>
          <w:szCs w:val="21"/>
        </w:rPr>
        <w:t xml:space="preserve"> increase.</w:t>
      </w:r>
    </w:p>
    <w:p w:rsidR="00690DF8" w:rsidRPr="00735E09" w:rsidRDefault="00AE1CA6" w:rsidP="00882253">
      <w:pPr>
        <w:pStyle w:val="CommentText"/>
        <w:spacing w:after="0"/>
        <w:rPr>
          <w:rFonts w:asciiTheme="minorHAnsi" w:hAnsiTheme="minorHAnsi" w:cs="Calibri"/>
          <w:sz w:val="21"/>
          <w:szCs w:val="21"/>
        </w:rPr>
      </w:pPr>
      <w:r w:rsidRPr="00735E09">
        <w:rPr>
          <w:rFonts w:asciiTheme="minorHAnsi" w:hAnsiTheme="minorHAnsi" w:cs="Calibri"/>
          <w:sz w:val="21"/>
          <w:szCs w:val="21"/>
        </w:rPr>
        <w:t xml:space="preserve">In fact, </w:t>
      </w:r>
      <w:r w:rsidR="00690DF8" w:rsidRPr="00735E09">
        <w:rPr>
          <w:rFonts w:asciiTheme="minorHAnsi" w:hAnsiTheme="minorHAnsi" w:cs="Calibri"/>
          <w:sz w:val="21"/>
          <w:szCs w:val="21"/>
        </w:rPr>
        <w:t>Illinois</w:t>
      </w:r>
      <w:r w:rsidR="008D6504" w:rsidRPr="00735E09">
        <w:rPr>
          <w:rFonts w:asciiTheme="minorHAnsi" w:hAnsiTheme="minorHAnsi" w:cs="Calibri"/>
          <w:sz w:val="21"/>
          <w:szCs w:val="21"/>
        </w:rPr>
        <w:t>’</w:t>
      </w:r>
      <w:r w:rsidR="00690DF8" w:rsidRPr="00735E09">
        <w:rPr>
          <w:rFonts w:asciiTheme="minorHAnsi" w:hAnsiTheme="minorHAnsi" w:cs="Calibri"/>
          <w:sz w:val="21"/>
          <w:szCs w:val="21"/>
        </w:rPr>
        <w:t xml:space="preserve"> </w:t>
      </w:r>
      <w:r w:rsidR="008D6504" w:rsidRPr="00735E09">
        <w:rPr>
          <w:rFonts w:asciiTheme="minorHAnsi" w:hAnsiTheme="minorHAnsi" w:cs="Calibri"/>
          <w:sz w:val="21"/>
          <w:szCs w:val="21"/>
        </w:rPr>
        <w:t xml:space="preserve">employment numbers were </w:t>
      </w:r>
      <w:r w:rsidRPr="00735E09">
        <w:rPr>
          <w:rFonts w:asciiTheme="minorHAnsi" w:hAnsiTheme="minorHAnsi" w:cs="Calibri"/>
          <w:sz w:val="21"/>
          <w:szCs w:val="21"/>
        </w:rPr>
        <w:t xml:space="preserve">worse than </w:t>
      </w:r>
      <w:r w:rsidR="008D6504" w:rsidRPr="00735E09">
        <w:rPr>
          <w:rFonts w:asciiTheme="minorHAnsi" w:hAnsiTheme="minorHAnsi" w:cs="Calibri"/>
          <w:sz w:val="21"/>
          <w:szCs w:val="21"/>
        </w:rPr>
        <w:t xml:space="preserve">those of </w:t>
      </w:r>
      <w:r w:rsidRPr="00735E09">
        <w:rPr>
          <w:rFonts w:asciiTheme="minorHAnsi" w:hAnsiTheme="minorHAnsi" w:cs="Calibri"/>
          <w:sz w:val="21"/>
          <w:szCs w:val="21"/>
        </w:rPr>
        <w:t xml:space="preserve">New York </w:t>
      </w:r>
      <w:r w:rsidR="00690DF8" w:rsidRPr="00735E09">
        <w:rPr>
          <w:rFonts w:asciiTheme="minorHAnsi" w:hAnsiTheme="minorHAnsi" w:cs="Calibri"/>
          <w:sz w:val="21"/>
          <w:szCs w:val="21"/>
        </w:rPr>
        <w:t>and the nation.</w:t>
      </w:r>
      <w:r w:rsidR="00690DF8" w:rsidRPr="00735E09">
        <w:rPr>
          <w:rFonts w:asciiTheme="minorHAnsi" w:hAnsiTheme="minorHAnsi" w:cs="Calibri"/>
          <w:b/>
          <w:sz w:val="21"/>
          <w:szCs w:val="21"/>
        </w:rPr>
        <w:t xml:space="preserve"> </w:t>
      </w:r>
      <w:r w:rsidR="00882253" w:rsidRPr="00735E09">
        <w:rPr>
          <w:rFonts w:asciiTheme="minorHAnsi" w:hAnsiTheme="minorHAnsi" w:cs="Calibri"/>
          <w:sz w:val="21"/>
          <w:szCs w:val="21"/>
        </w:rPr>
        <w:t>F</w:t>
      </w:r>
      <w:r w:rsidR="00690DF8" w:rsidRPr="00735E09">
        <w:rPr>
          <w:rFonts w:asciiTheme="minorHAnsi" w:hAnsiTheme="minorHAnsi" w:cs="Calibri"/>
          <w:sz w:val="21"/>
          <w:szCs w:val="21"/>
        </w:rPr>
        <w:t>rom 1995 to 2012, constr</w:t>
      </w:r>
      <w:r w:rsidR="007B5D68" w:rsidRPr="00735E09">
        <w:rPr>
          <w:rFonts w:asciiTheme="minorHAnsi" w:hAnsiTheme="minorHAnsi" w:cs="Calibri"/>
          <w:sz w:val="21"/>
          <w:szCs w:val="21"/>
        </w:rPr>
        <w:t>uction employment increased 24</w:t>
      </w:r>
      <w:r w:rsidR="00690DF8" w:rsidRPr="00735E09">
        <w:rPr>
          <w:rFonts w:asciiTheme="minorHAnsi" w:hAnsiTheme="minorHAnsi" w:cs="Calibri"/>
          <w:sz w:val="21"/>
          <w:szCs w:val="21"/>
        </w:rPr>
        <w:t xml:space="preserve">% in </w:t>
      </w:r>
      <w:r w:rsidR="007B5D68" w:rsidRPr="00735E09">
        <w:rPr>
          <w:rFonts w:asciiTheme="minorHAnsi" w:hAnsiTheme="minorHAnsi" w:cs="Calibri"/>
          <w:sz w:val="21"/>
          <w:szCs w:val="21"/>
        </w:rPr>
        <w:t>New York compared to 7</w:t>
      </w:r>
      <w:r w:rsidR="00690DF8" w:rsidRPr="00735E09">
        <w:rPr>
          <w:rFonts w:asciiTheme="minorHAnsi" w:hAnsiTheme="minorHAnsi" w:cs="Calibri"/>
          <w:sz w:val="21"/>
          <w:szCs w:val="21"/>
        </w:rPr>
        <w:t xml:space="preserve">% in the US and a </w:t>
      </w:r>
      <w:r w:rsidR="00690DF8" w:rsidRPr="00735E09">
        <w:rPr>
          <w:rFonts w:asciiTheme="minorHAnsi" w:hAnsiTheme="minorHAnsi" w:cs="Calibri"/>
          <w:i/>
          <w:sz w:val="21"/>
          <w:szCs w:val="21"/>
        </w:rPr>
        <w:t>decline</w:t>
      </w:r>
      <w:r w:rsidR="00690DF8" w:rsidRPr="00735E09">
        <w:rPr>
          <w:rFonts w:asciiTheme="minorHAnsi" w:hAnsiTheme="minorHAnsi" w:cs="Calibri"/>
          <w:sz w:val="21"/>
          <w:szCs w:val="21"/>
        </w:rPr>
        <w:t xml:space="preserve"> of 16% in Illinois.  </w:t>
      </w:r>
    </w:p>
    <w:p w:rsidR="00666C17" w:rsidRPr="00735E09" w:rsidRDefault="00666C17" w:rsidP="00690DF8">
      <w:pPr>
        <w:spacing w:after="0" w:line="240" w:lineRule="auto"/>
        <w:rPr>
          <w:rFonts w:eastAsia="Times New Roman" w:cs="Arial"/>
          <w:b/>
          <w:sz w:val="21"/>
          <w:szCs w:val="21"/>
        </w:rPr>
      </w:pPr>
    </w:p>
    <w:p w:rsidR="00346450" w:rsidRPr="00735E09" w:rsidRDefault="00690DF8" w:rsidP="00346450">
      <w:pPr>
        <w:spacing w:after="0" w:line="240" w:lineRule="auto"/>
        <w:rPr>
          <w:rFonts w:ascii="Calibri" w:eastAsia="Times New Roman" w:hAnsi="Calibri"/>
          <w:sz w:val="21"/>
          <w:szCs w:val="21"/>
        </w:rPr>
      </w:pPr>
      <w:r w:rsidRPr="00735E09">
        <w:rPr>
          <w:rFonts w:eastAsia="Times New Roman" w:cs="Arial"/>
          <w:b/>
          <w:sz w:val="21"/>
          <w:szCs w:val="21"/>
        </w:rPr>
        <w:t xml:space="preserve">The </w:t>
      </w:r>
      <w:r w:rsidR="002144D1" w:rsidRPr="00735E09">
        <w:rPr>
          <w:rFonts w:eastAsia="Times New Roman" w:cs="Arial"/>
          <w:b/>
          <w:sz w:val="21"/>
          <w:szCs w:val="21"/>
        </w:rPr>
        <w:t xml:space="preserve">claim that “fatalities plunged” </w:t>
      </w:r>
      <w:r w:rsidR="00882253" w:rsidRPr="00735E09">
        <w:rPr>
          <w:rFonts w:eastAsia="Times New Roman" w:cs="Arial"/>
          <w:b/>
          <w:sz w:val="21"/>
          <w:szCs w:val="21"/>
        </w:rPr>
        <w:t xml:space="preserve">when Illinois repealed its’ Scaffold Law </w:t>
      </w:r>
      <w:r w:rsidR="002144D1" w:rsidRPr="00735E09">
        <w:rPr>
          <w:rFonts w:eastAsia="Times New Roman" w:cs="Arial"/>
          <w:b/>
          <w:sz w:val="21"/>
          <w:szCs w:val="21"/>
        </w:rPr>
        <w:t>is misleading</w:t>
      </w:r>
      <w:r w:rsidR="008D6504" w:rsidRPr="00735E09">
        <w:rPr>
          <w:rFonts w:eastAsia="Times New Roman" w:cs="Arial"/>
          <w:b/>
          <w:sz w:val="21"/>
          <w:szCs w:val="21"/>
        </w:rPr>
        <w:t xml:space="preserve"> and cherry-picking.  </w:t>
      </w:r>
      <w:r w:rsidRPr="00735E09">
        <w:rPr>
          <w:sz w:val="21"/>
          <w:szCs w:val="21"/>
        </w:rPr>
        <w:t>Scaffold Law Reform says, “</w:t>
      </w:r>
      <w:r w:rsidRPr="00735E09">
        <w:rPr>
          <w:rFonts w:cs="Arial"/>
          <w:sz w:val="21"/>
          <w:szCs w:val="21"/>
          <w:shd w:val="clear" w:color="auto" w:fill="FFFFFF"/>
        </w:rPr>
        <w:t>Between 1995 and 2000, construction</w:t>
      </w:r>
      <w:r w:rsidR="00735E09" w:rsidRPr="00735E09">
        <w:rPr>
          <w:rFonts w:cs="Arial"/>
          <w:sz w:val="21"/>
          <w:szCs w:val="21"/>
          <w:shd w:val="clear" w:color="auto" w:fill="FFFFFF"/>
        </w:rPr>
        <w:t xml:space="preserve"> </w:t>
      </w:r>
      <w:r w:rsidRPr="00735E09">
        <w:rPr>
          <w:rFonts w:cs="Arial"/>
          <w:sz w:val="21"/>
          <w:szCs w:val="21"/>
          <w:shd w:val="clear" w:color="auto" w:fill="FFFFFF"/>
        </w:rPr>
        <w:t>fatalities</w:t>
      </w:r>
      <w:r w:rsidRPr="00735E09">
        <w:rPr>
          <w:rStyle w:val="apple-converted-space"/>
          <w:rFonts w:cs="Arial"/>
          <w:sz w:val="21"/>
          <w:szCs w:val="21"/>
          <w:shd w:val="clear" w:color="auto" w:fill="FFFFFF"/>
        </w:rPr>
        <w:t> </w:t>
      </w:r>
      <w:r w:rsidRPr="00735E09">
        <w:rPr>
          <w:rStyle w:val="Strong"/>
          <w:rFonts w:cs="Arial"/>
          <w:b w:val="0"/>
          <w:sz w:val="21"/>
          <w:szCs w:val="21"/>
          <w:bdr w:val="none" w:sz="0" w:space="0" w:color="auto" w:frame="1"/>
          <w:shd w:val="clear" w:color="auto" w:fill="FFFFFF"/>
        </w:rPr>
        <w:t>declined</w:t>
      </w:r>
      <w:r w:rsidRPr="00735E09">
        <w:rPr>
          <w:rStyle w:val="apple-converted-space"/>
          <w:rFonts w:cs="Arial"/>
          <w:sz w:val="21"/>
          <w:szCs w:val="21"/>
          <w:shd w:val="clear" w:color="auto" w:fill="FFFFFF"/>
        </w:rPr>
        <w:t> </w:t>
      </w:r>
      <w:r w:rsidRPr="00735E09">
        <w:rPr>
          <w:rFonts w:cs="Arial"/>
          <w:sz w:val="21"/>
          <w:szCs w:val="21"/>
          <w:shd w:val="clear" w:color="auto" w:fill="FFFFFF"/>
        </w:rPr>
        <w:t xml:space="preserve">as a percentage of construction workers by 30%.”  That’s disingenuous.  </w:t>
      </w:r>
      <w:r w:rsidR="008D6504" w:rsidRPr="00735E09">
        <w:rPr>
          <w:rFonts w:ascii="Calibri" w:eastAsia="Times New Roman" w:hAnsi="Calibri"/>
          <w:sz w:val="21"/>
          <w:szCs w:val="21"/>
        </w:rPr>
        <w:t xml:space="preserve">In 1993 Illinois saw 38 construction deaths and 45 in 1994. However, 1995 was an unusually deadly year – </w:t>
      </w:r>
      <w:r w:rsidR="00735E09" w:rsidRPr="00735E09">
        <w:rPr>
          <w:rFonts w:ascii="Calibri" w:eastAsia="Times New Roman" w:hAnsi="Calibri"/>
          <w:sz w:val="21"/>
          <w:szCs w:val="21"/>
        </w:rPr>
        <w:t>with 63</w:t>
      </w:r>
      <w:r w:rsidR="008D6504" w:rsidRPr="00735E09">
        <w:rPr>
          <w:rFonts w:ascii="Calibri" w:eastAsia="Times New Roman" w:hAnsi="Calibri"/>
          <w:sz w:val="21"/>
          <w:szCs w:val="21"/>
        </w:rPr>
        <w:t xml:space="preserve"> fatalities. By using </w:t>
      </w:r>
      <w:r w:rsidR="00735E09" w:rsidRPr="00735E09">
        <w:rPr>
          <w:rFonts w:ascii="Calibri" w:eastAsia="Times New Roman" w:hAnsi="Calibri"/>
          <w:sz w:val="21"/>
          <w:szCs w:val="21"/>
        </w:rPr>
        <w:t>this outlying</w:t>
      </w:r>
      <w:r w:rsidR="008D6504" w:rsidRPr="00735E09">
        <w:rPr>
          <w:rFonts w:ascii="Calibri" w:eastAsia="Times New Roman" w:hAnsi="Calibri"/>
          <w:sz w:val="21"/>
          <w:szCs w:val="21"/>
        </w:rPr>
        <w:t xml:space="preserve"> year to </w:t>
      </w:r>
      <w:r w:rsidR="00735E09" w:rsidRPr="00735E09">
        <w:rPr>
          <w:rFonts w:ascii="Calibri" w:eastAsia="Times New Roman" w:hAnsi="Calibri"/>
          <w:sz w:val="21"/>
          <w:szCs w:val="21"/>
        </w:rPr>
        <w:t xml:space="preserve">support </w:t>
      </w:r>
      <w:r w:rsidR="008D6504" w:rsidRPr="00735E09">
        <w:rPr>
          <w:rFonts w:ascii="Calibri" w:eastAsia="Times New Roman" w:hAnsi="Calibri"/>
          <w:sz w:val="21"/>
          <w:szCs w:val="21"/>
        </w:rPr>
        <w:t>their misleading argument, of course there was a large drop when fatalities returned to normal levels.</w:t>
      </w:r>
      <w:r w:rsidR="00346450" w:rsidRPr="00735E09">
        <w:rPr>
          <w:rFonts w:ascii="Calibri" w:eastAsia="Times New Roman" w:hAnsi="Calibri"/>
          <w:sz w:val="21"/>
          <w:szCs w:val="21"/>
        </w:rPr>
        <w:t xml:space="preserve"> </w:t>
      </w:r>
    </w:p>
    <w:p w:rsidR="00346450" w:rsidRPr="00735E09" w:rsidRDefault="00346450" w:rsidP="00346450">
      <w:pPr>
        <w:spacing w:after="0" w:line="240" w:lineRule="auto"/>
        <w:rPr>
          <w:rFonts w:ascii="Calibri" w:eastAsia="Times New Roman" w:hAnsi="Calibri"/>
          <w:sz w:val="10"/>
          <w:szCs w:val="10"/>
        </w:rPr>
      </w:pPr>
    </w:p>
    <w:p w:rsidR="00690DF8" w:rsidRPr="00735E09" w:rsidRDefault="00346450" w:rsidP="00690DF8">
      <w:pPr>
        <w:spacing w:after="0" w:line="240" w:lineRule="auto"/>
        <w:rPr>
          <w:rFonts w:cs="Arial"/>
          <w:sz w:val="21"/>
          <w:szCs w:val="21"/>
          <w:shd w:val="clear" w:color="auto" w:fill="FFFFFF"/>
        </w:rPr>
      </w:pPr>
      <w:r w:rsidRPr="00735E09">
        <w:rPr>
          <w:rFonts w:ascii="Calibri" w:eastAsia="Times New Roman" w:hAnsi="Calibri"/>
          <w:sz w:val="21"/>
          <w:szCs w:val="21"/>
        </w:rPr>
        <w:t xml:space="preserve">Even </w:t>
      </w:r>
      <w:r w:rsidR="00735E09" w:rsidRPr="00735E09">
        <w:rPr>
          <w:rFonts w:ascii="Calibri" w:eastAsia="Times New Roman" w:hAnsi="Calibri"/>
          <w:sz w:val="21"/>
          <w:szCs w:val="21"/>
        </w:rPr>
        <w:t>setting aside the</w:t>
      </w:r>
      <w:r w:rsidRPr="00735E09">
        <w:rPr>
          <w:rFonts w:ascii="Calibri" w:eastAsia="Times New Roman" w:hAnsi="Calibri"/>
          <w:sz w:val="21"/>
          <w:szCs w:val="21"/>
        </w:rPr>
        <w:t xml:space="preserve"> statistics, are the proponents of scaffold law reform actually arguing that the watering down or repeal of a worksite safety statute saved lives?  We who devote our lives to </w:t>
      </w:r>
      <w:r w:rsidR="00735E09" w:rsidRPr="00735E09">
        <w:rPr>
          <w:rFonts w:ascii="Calibri" w:eastAsia="Times New Roman" w:hAnsi="Calibri"/>
          <w:sz w:val="21"/>
          <w:szCs w:val="21"/>
        </w:rPr>
        <w:t>studying</w:t>
      </w:r>
      <w:r w:rsidRPr="00735E09">
        <w:rPr>
          <w:rFonts w:ascii="Calibri" w:eastAsia="Times New Roman" w:hAnsi="Calibri"/>
          <w:sz w:val="21"/>
          <w:szCs w:val="21"/>
        </w:rPr>
        <w:t xml:space="preserve"> and </w:t>
      </w:r>
      <w:r w:rsidR="00735E09" w:rsidRPr="00735E09">
        <w:rPr>
          <w:rFonts w:ascii="Calibri" w:eastAsia="Times New Roman" w:hAnsi="Calibri"/>
          <w:sz w:val="21"/>
          <w:szCs w:val="21"/>
        </w:rPr>
        <w:t>advocating for</w:t>
      </w:r>
      <w:r w:rsidRPr="00735E09">
        <w:rPr>
          <w:rFonts w:ascii="Calibri" w:eastAsia="Times New Roman" w:hAnsi="Calibri"/>
          <w:sz w:val="21"/>
          <w:szCs w:val="21"/>
        </w:rPr>
        <w:t xml:space="preserve"> safety on c</w:t>
      </w:r>
      <w:r w:rsidR="00735E09" w:rsidRPr="00735E09">
        <w:rPr>
          <w:rFonts w:ascii="Calibri" w:eastAsia="Times New Roman" w:hAnsi="Calibri"/>
          <w:sz w:val="21"/>
          <w:szCs w:val="21"/>
        </w:rPr>
        <w:t xml:space="preserve">onstruction sites would hope no-one </w:t>
      </w:r>
      <w:r w:rsidRPr="00735E09">
        <w:rPr>
          <w:rFonts w:ascii="Calibri" w:eastAsia="Times New Roman" w:hAnsi="Calibri"/>
          <w:sz w:val="21"/>
          <w:szCs w:val="21"/>
        </w:rPr>
        <w:t>would give such an argument any credence whatsoever.</w:t>
      </w:r>
      <w:r w:rsidR="008D6504" w:rsidRPr="00735E09">
        <w:rPr>
          <w:rFonts w:ascii="Calibri" w:eastAsia="Times New Roman" w:hAnsi="Calibri"/>
          <w:sz w:val="21"/>
          <w:szCs w:val="21"/>
        </w:rPr>
        <w:t>  </w:t>
      </w:r>
      <w:r w:rsidR="000D0726" w:rsidRPr="00735E09">
        <w:rPr>
          <w:rFonts w:cs="Arial"/>
          <w:sz w:val="21"/>
          <w:szCs w:val="21"/>
          <w:shd w:val="clear" w:color="auto" w:fill="FFFFFF"/>
        </w:rPr>
        <w:t xml:space="preserve"> </w:t>
      </w:r>
    </w:p>
    <w:p w:rsidR="00666C17" w:rsidRPr="00735E09" w:rsidRDefault="00666C17" w:rsidP="00882253">
      <w:pPr>
        <w:pStyle w:val="CommentText"/>
        <w:spacing w:after="0"/>
        <w:rPr>
          <w:rFonts w:asciiTheme="minorHAnsi" w:eastAsia="Times New Roman" w:hAnsiTheme="minorHAnsi" w:cs="Arial"/>
          <w:b/>
          <w:sz w:val="10"/>
          <w:szCs w:val="10"/>
        </w:rPr>
      </w:pPr>
    </w:p>
    <w:p w:rsidR="00690DF8" w:rsidRPr="00735E09" w:rsidRDefault="00690DF8" w:rsidP="00882253">
      <w:pPr>
        <w:pStyle w:val="CommentText"/>
        <w:spacing w:after="0"/>
        <w:rPr>
          <w:rFonts w:asciiTheme="minorHAnsi" w:eastAsia="Times New Roman" w:hAnsiTheme="minorHAnsi" w:cs="Arial"/>
          <w:sz w:val="21"/>
          <w:szCs w:val="21"/>
        </w:rPr>
      </w:pPr>
      <w:r w:rsidRPr="00735E09">
        <w:rPr>
          <w:rFonts w:asciiTheme="minorHAnsi" w:eastAsia="Times New Roman" w:hAnsiTheme="minorHAnsi" w:cs="Arial"/>
          <w:b/>
          <w:sz w:val="21"/>
          <w:szCs w:val="21"/>
        </w:rPr>
        <w:t xml:space="preserve">If it is true that smaller contractors get “shut out of jobs because they can't afford the insurance” the reason may be </w:t>
      </w:r>
      <w:r w:rsidR="00A91735" w:rsidRPr="00735E09">
        <w:rPr>
          <w:rFonts w:asciiTheme="minorHAnsi" w:eastAsia="Times New Roman" w:hAnsiTheme="minorHAnsi" w:cs="Arial"/>
          <w:b/>
          <w:sz w:val="21"/>
          <w:szCs w:val="21"/>
        </w:rPr>
        <w:t xml:space="preserve">that </w:t>
      </w:r>
      <w:r w:rsidRPr="00735E09">
        <w:rPr>
          <w:rFonts w:asciiTheme="minorHAnsi" w:eastAsia="Times New Roman" w:hAnsiTheme="minorHAnsi" w:cs="Arial"/>
          <w:b/>
          <w:sz w:val="21"/>
          <w:szCs w:val="21"/>
        </w:rPr>
        <w:t xml:space="preserve">they are unjustifiably paying too much for insurance.   </w:t>
      </w:r>
      <w:r w:rsidRPr="00735E09">
        <w:rPr>
          <w:rFonts w:asciiTheme="minorHAnsi" w:eastAsia="Times New Roman" w:hAnsiTheme="minorHAnsi" w:cs="Arial"/>
          <w:sz w:val="21"/>
          <w:szCs w:val="21"/>
        </w:rPr>
        <w:t xml:space="preserve">As explained above, insurers refuse to open their books so that their </w:t>
      </w:r>
      <w:r w:rsidR="007A65AF" w:rsidRPr="00735E09">
        <w:rPr>
          <w:rFonts w:asciiTheme="minorHAnsi" w:eastAsia="Times New Roman" w:hAnsiTheme="minorHAnsi" w:cs="Arial"/>
          <w:sz w:val="21"/>
          <w:szCs w:val="21"/>
        </w:rPr>
        <w:t xml:space="preserve">profitability can be independently assessed.  </w:t>
      </w:r>
    </w:p>
    <w:p w:rsidR="00882253" w:rsidRPr="00735E09" w:rsidRDefault="00882253" w:rsidP="00882253">
      <w:pPr>
        <w:pStyle w:val="CommentText"/>
        <w:spacing w:after="0"/>
        <w:rPr>
          <w:rFonts w:asciiTheme="minorHAnsi" w:hAnsiTheme="minorHAnsi"/>
          <w:sz w:val="10"/>
          <w:szCs w:val="10"/>
        </w:rPr>
      </w:pPr>
    </w:p>
    <w:p w:rsidR="00882253" w:rsidRPr="00735E09" w:rsidRDefault="007A65AF" w:rsidP="006177D7">
      <w:pPr>
        <w:pStyle w:val="CommentText"/>
        <w:spacing w:after="0"/>
        <w:rPr>
          <w:rFonts w:asciiTheme="minorHAnsi" w:hAnsiTheme="minorHAnsi"/>
          <w:sz w:val="21"/>
          <w:szCs w:val="21"/>
        </w:rPr>
      </w:pPr>
      <w:r w:rsidRPr="00735E09">
        <w:rPr>
          <w:rFonts w:asciiTheme="minorHAnsi" w:eastAsia="Times New Roman" w:hAnsiTheme="minorHAnsi" w:cs="Arial"/>
          <w:sz w:val="21"/>
          <w:szCs w:val="21"/>
        </w:rPr>
        <w:t>Poor safety records</w:t>
      </w:r>
      <w:r w:rsidR="008D6504" w:rsidRPr="00735E09">
        <w:rPr>
          <w:rFonts w:asciiTheme="minorHAnsi" w:eastAsia="Times New Roman" w:hAnsiTheme="minorHAnsi" w:cs="Arial"/>
          <w:sz w:val="21"/>
          <w:szCs w:val="21"/>
        </w:rPr>
        <w:t>, or lack of a safety record for start-up companies,</w:t>
      </w:r>
      <w:r w:rsidRPr="00735E09">
        <w:rPr>
          <w:rFonts w:asciiTheme="minorHAnsi" w:eastAsia="Times New Roman" w:hAnsiTheme="minorHAnsi" w:cs="Arial"/>
          <w:sz w:val="21"/>
          <w:szCs w:val="21"/>
        </w:rPr>
        <w:t xml:space="preserve"> may be </w:t>
      </w:r>
      <w:r w:rsidR="006177D7" w:rsidRPr="00735E09">
        <w:rPr>
          <w:rFonts w:asciiTheme="minorHAnsi" w:eastAsia="Times New Roman" w:hAnsiTheme="minorHAnsi" w:cs="Arial"/>
          <w:sz w:val="21"/>
          <w:szCs w:val="21"/>
        </w:rPr>
        <w:t>one</w:t>
      </w:r>
      <w:r w:rsidRPr="00735E09">
        <w:rPr>
          <w:rFonts w:asciiTheme="minorHAnsi" w:eastAsia="Times New Roman" w:hAnsiTheme="minorHAnsi" w:cs="Arial"/>
          <w:sz w:val="21"/>
          <w:szCs w:val="21"/>
        </w:rPr>
        <w:t xml:space="preserve"> reason some </w:t>
      </w:r>
      <w:r w:rsidR="006177D7" w:rsidRPr="00735E09">
        <w:rPr>
          <w:rFonts w:asciiTheme="minorHAnsi" w:eastAsia="Times New Roman" w:hAnsiTheme="minorHAnsi" w:cs="Arial"/>
          <w:sz w:val="21"/>
          <w:szCs w:val="21"/>
        </w:rPr>
        <w:t xml:space="preserve">small contractors are </w:t>
      </w:r>
      <w:r w:rsidRPr="00735E09">
        <w:rPr>
          <w:rFonts w:asciiTheme="minorHAnsi" w:eastAsia="Times New Roman" w:hAnsiTheme="minorHAnsi" w:cs="Arial"/>
          <w:sz w:val="21"/>
          <w:szCs w:val="21"/>
        </w:rPr>
        <w:t>reporting substantial increases</w:t>
      </w:r>
      <w:r w:rsidR="000D0726" w:rsidRPr="00735E09">
        <w:rPr>
          <w:rFonts w:asciiTheme="minorHAnsi" w:eastAsia="Times New Roman" w:hAnsiTheme="minorHAnsi" w:cs="Arial"/>
          <w:sz w:val="21"/>
          <w:szCs w:val="21"/>
        </w:rPr>
        <w:t xml:space="preserve">.  </w:t>
      </w:r>
      <w:r w:rsidR="006177D7" w:rsidRPr="00735E09">
        <w:rPr>
          <w:rFonts w:asciiTheme="minorHAnsi" w:hAnsiTheme="minorHAnsi"/>
          <w:sz w:val="21"/>
          <w:szCs w:val="21"/>
        </w:rPr>
        <w:t>One industry report noted that contractors are “</w:t>
      </w:r>
      <w:r w:rsidRPr="00735E09">
        <w:rPr>
          <w:rFonts w:asciiTheme="minorHAnsi" w:hAnsiTheme="minorHAnsi"/>
          <w:bCs/>
          <w:sz w:val="21"/>
          <w:szCs w:val="21"/>
        </w:rPr>
        <w:t xml:space="preserve">severely penalized for poor claims history” and </w:t>
      </w:r>
      <w:r w:rsidR="006177D7" w:rsidRPr="00735E09">
        <w:rPr>
          <w:rFonts w:asciiTheme="minorHAnsi" w:hAnsiTheme="minorHAnsi"/>
          <w:bCs/>
          <w:sz w:val="21"/>
          <w:szCs w:val="21"/>
        </w:rPr>
        <w:t>should</w:t>
      </w:r>
      <w:r w:rsidRPr="00735E09">
        <w:rPr>
          <w:rFonts w:asciiTheme="minorHAnsi" w:hAnsiTheme="minorHAnsi"/>
          <w:bCs/>
          <w:sz w:val="21"/>
          <w:szCs w:val="21"/>
        </w:rPr>
        <w:t xml:space="preserve"> “focus on preventing job site accidents and claim</w:t>
      </w:r>
      <w:r w:rsidR="006177D7" w:rsidRPr="00735E09">
        <w:rPr>
          <w:rFonts w:asciiTheme="minorHAnsi" w:hAnsiTheme="minorHAnsi"/>
          <w:bCs/>
          <w:sz w:val="21"/>
          <w:szCs w:val="21"/>
        </w:rPr>
        <w:t xml:space="preserve">s in the first place.”   </w:t>
      </w:r>
      <w:r w:rsidR="00666C17" w:rsidRPr="00735E09">
        <w:rPr>
          <w:rFonts w:asciiTheme="minorHAnsi" w:hAnsiTheme="minorHAnsi"/>
          <w:bCs/>
          <w:sz w:val="21"/>
          <w:szCs w:val="21"/>
        </w:rPr>
        <w:t>C</w:t>
      </w:r>
      <w:r w:rsidRPr="00735E09">
        <w:rPr>
          <w:rFonts w:asciiTheme="minorHAnsi" w:hAnsiTheme="minorHAnsi"/>
          <w:bCs/>
          <w:sz w:val="21"/>
          <w:szCs w:val="21"/>
        </w:rPr>
        <w:t xml:space="preserve">ontractors need </w:t>
      </w:r>
      <w:r w:rsidR="000D0726" w:rsidRPr="00735E09">
        <w:rPr>
          <w:rFonts w:asciiTheme="minorHAnsi" w:hAnsiTheme="minorHAnsi"/>
          <w:bCs/>
          <w:sz w:val="21"/>
          <w:szCs w:val="21"/>
        </w:rPr>
        <w:t xml:space="preserve">to </w:t>
      </w:r>
      <w:r w:rsidRPr="00735E09">
        <w:rPr>
          <w:rFonts w:asciiTheme="minorHAnsi" w:hAnsiTheme="minorHAnsi"/>
          <w:sz w:val="21"/>
          <w:szCs w:val="21"/>
        </w:rPr>
        <w:t xml:space="preserve">ensure that </w:t>
      </w:r>
      <w:r w:rsidR="00B92C1F" w:rsidRPr="00735E09">
        <w:rPr>
          <w:rFonts w:asciiTheme="minorHAnsi" w:hAnsiTheme="minorHAnsi"/>
          <w:sz w:val="21"/>
          <w:szCs w:val="21"/>
        </w:rPr>
        <w:t xml:space="preserve">proper </w:t>
      </w:r>
      <w:r w:rsidRPr="00735E09">
        <w:rPr>
          <w:rFonts w:asciiTheme="minorHAnsi" w:hAnsiTheme="minorHAnsi"/>
          <w:sz w:val="21"/>
          <w:szCs w:val="21"/>
        </w:rPr>
        <w:t xml:space="preserve">safety equipment </w:t>
      </w:r>
      <w:r w:rsidR="006177D7" w:rsidRPr="00735E09">
        <w:rPr>
          <w:rFonts w:asciiTheme="minorHAnsi" w:hAnsiTheme="minorHAnsi"/>
          <w:sz w:val="21"/>
          <w:szCs w:val="21"/>
        </w:rPr>
        <w:t xml:space="preserve">is </w:t>
      </w:r>
      <w:r w:rsidR="000D0726" w:rsidRPr="00735E09">
        <w:rPr>
          <w:rFonts w:asciiTheme="minorHAnsi" w:hAnsiTheme="minorHAnsi"/>
          <w:sz w:val="21"/>
          <w:szCs w:val="21"/>
        </w:rPr>
        <w:t>provided</w:t>
      </w:r>
      <w:r w:rsidR="006177D7" w:rsidRPr="00735E09">
        <w:rPr>
          <w:rFonts w:asciiTheme="minorHAnsi" w:hAnsiTheme="minorHAnsi"/>
          <w:sz w:val="21"/>
          <w:szCs w:val="21"/>
        </w:rPr>
        <w:t>.</w:t>
      </w:r>
      <w:r w:rsidR="008D6504" w:rsidRPr="00735E09">
        <w:rPr>
          <w:rFonts w:eastAsia="Times New Roman"/>
          <w:sz w:val="21"/>
          <w:szCs w:val="21"/>
        </w:rPr>
        <w:t xml:space="preserve"> T</w:t>
      </w:r>
      <w:r w:rsidR="00666C17" w:rsidRPr="00735E09">
        <w:rPr>
          <w:rFonts w:eastAsia="Times New Roman"/>
          <w:sz w:val="21"/>
          <w:szCs w:val="21"/>
        </w:rPr>
        <w:t xml:space="preserve">he answer </w:t>
      </w:r>
      <w:r w:rsidR="008D6504" w:rsidRPr="00735E09">
        <w:rPr>
          <w:rFonts w:eastAsia="Times New Roman"/>
          <w:sz w:val="21"/>
          <w:szCs w:val="21"/>
        </w:rPr>
        <w:t>is not to water down safety but to develop training programs that enable small contractors and start-ups to qualify for reduced rates. There are safe ways of enabling insurance coverage that don’t put hard-working men and women at risk.</w:t>
      </w:r>
    </w:p>
    <w:p w:rsidR="00666C17" w:rsidRPr="00735E09" w:rsidRDefault="00666C17" w:rsidP="008D6504">
      <w:pPr>
        <w:spacing w:after="0" w:line="240" w:lineRule="auto"/>
        <w:rPr>
          <w:rFonts w:eastAsia="Times New Roman" w:cs="Arial"/>
          <w:b/>
          <w:sz w:val="10"/>
          <w:szCs w:val="10"/>
        </w:rPr>
      </w:pPr>
    </w:p>
    <w:p w:rsidR="007A65AF" w:rsidRPr="00735E09" w:rsidRDefault="008D2E76" w:rsidP="008D6504">
      <w:pPr>
        <w:spacing w:after="0" w:line="240" w:lineRule="auto"/>
        <w:rPr>
          <w:sz w:val="21"/>
          <w:szCs w:val="21"/>
        </w:rPr>
      </w:pPr>
      <w:r w:rsidRPr="00735E09">
        <w:rPr>
          <w:rFonts w:eastAsia="Times New Roman" w:cs="Arial"/>
          <w:b/>
          <w:sz w:val="21"/>
          <w:szCs w:val="21"/>
        </w:rPr>
        <w:t>Scaffold law “reformers” throw around big numbers and claim a time-tested law is to blame for high costs – before those who hold power over the safety of those workers who put their lives at risk water down New York’s safety laws, insurers should open their books so the public can understand the issues – safety should not be negotiable.</w:t>
      </w:r>
    </w:p>
    <w:sectPr w:rsidR="007A65AF" w:rsidRPr="00735E09" w:rsidSect="00872F0B">
      <w:headerReference w:type="default" r:id="rId7"/>
      <w:pgSz w:w="12240" w:h="15840"/>
      <w:pgMar w:top="1624" w:right="1296" w:bottom="634" w:left="1296"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31" w:rsidRDefault="000A1031" w:rsidP="0055561A">
      <w:pPr>
        <w:spacing w:after="0" w:line="240" w:lineRule="auto"/>
      </w:pPr>
      <w:r>
        <w:separator/>
      </w:r>
    </w:p>
  </w:endnote>
  <w:endnote w:type="continuationSeparator" w:id="0">
    <w:p w:rsidR="000A1031" w:rsidRDefault="000A1031" w:rsidP="0055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31" w:rsidRDefault="000A1031" w:rsidP="0055561A">
      <w:pPr>
        <w:spacing w:after="0" w:line="240" w:lineRule="auto"/>
      </w:pPr>
      <w:r>
        <w:separator/>
      </w:r>
    </w:p>
  </w:footnote>
  <w:footnote w:type="continuationSeparator" w:id="0">
    <w:p w:rsidR="000A1031" w:rsidRDefault="000A1031" w:rsidP="00555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D7" w:rsidRPr="006177D7" w:rsidRDefault="006177D7" w:rsidP="006177D7">
    <w:pPr>
      <w:widowControl w:val="0"/>
      <w:kinsoku w:val="0"/>
      <w:spacing w:after="0" w:line="240" w:lineRule="auto"/>
      <w:ind w:left="3960"/>
      <w:rPr>
        <w:rFonts w:ascii="Times New Roman" w:eastAsia="Times New Roman" w:hAnsi="Times New Roman" w:cs="Times New Roman"/>
        <w:color w:val="000000"/>
        <w:sz w:val="18"/>
        <w:szCs w:val="18"/>
      </w:rPr>
    </w:pPr>
    <w:r w:rsidRPr="006177D7">
      <w:rPr>
        <w:rFonts w:ascii="Times New Roman" w:eastAsia="Times New Roman" w:hAnsi="Times New Roman" w:cs="Times New Roman"/>
        <w:noProof/>
        <w:color w:val="000000"/>
        <w:sz w:val="24"/>
        <w:szCs w:val="24"/>
      </w:rPr>
      <w:drawing>
        <wp:anchor distT="0" distB="0" distL="114300" distR="114300" simplePos="0" relativeHeight="251660288" behindDoc="1" locked="0" layoutInCell="1" allowOverlap="1" wp14:anchorId="37BBA86E" wp14:editId="35394ED1">
          <wp:simplePos x="0" y="0"/>
          <wp:positionH relativeFrom="column">
            <wp:posOffset>0</wp:posOffset>
          </wp:positionH>
          <wp:positionV relativeFrom="paragraph">
            <wp:posOffset>8890</wp:posOffset>
          </wp:positionV>
          <wp:extent cx="2286000" cy="581025"/>
          <wp:effectExtent l="0" t="0" r="0" b="9525"/>
          <wp:wrapThrough wrapText="bothSides">
            <wp:wrapPolygon edited="0">
              <wp:start x="0" y="0"/>
              <wp:lineTo x="0" y="21246"/>
              <wp:lineTo x="21420" y="21246"/>
              <wp:lineTo x="21420" y="0"/>
              <wp:lineTo x="0" y="0"/>
            </wp:wrapPolygon>
          </wp:wrapThrough>
          <wp:docPr id="2" name="Picture 2" descr="NYCOSH logo 2005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YCOSH logo 2005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81025"/>
                  </a:xfrm>
                  <a:prstGeom prst="rect">
                    <a:avLst/>
                  </a:prstGeom>
                  <a:noFill/>
                </pic:spPr>
              </pic:pic>
            </a:graphicData>
          </a:graphic>
          <wp14:sizeRelH relativeFrom="page">
            <wp14:pctWidth>0</wp14:pctWidth>
          </wp14:sizeRelH>
          <wp14:sizeRelV relativeFrom="page">
            <wp14:pctHeight>0</wp14:pctHeight>
          </wp14:sizeRelV>
        </wp:anchor>
      </w:drawing>
    </w:r>
    <w:r w:rsidRPr="006177D7">
      <w:rPr>
        <w:rFonts w:ascii="Times New Roman" w:eastAsia="Times New Roman" w:hAnsi="Times New Roman" w:cs="Times New Roman"/>
        <w:color w:val="000000"/>
        <w:sz w:val="18"/>
        <w:szCs w:val="18"/>
      </w:rPr>
      <w:t xml:space="preserve">New York Committee for Occupational Safety and Health, Inc.  </w:t>
    </w:r>
  </w:p>
  <w:p w:rsidR="006177D7" w:rsidRPr="006177D7" w:rsidRDefault="006177D7" w:rsidP="006177D7">
    <w:pPr>
      <w:widowControl w:val="0"/>
      <w:kinsoku w:val="0"/>
      <w:spacing w:after="0" w:line="240" w:lineRule="auto"/>
      <w:ind w:left="3600" w:firstLine="360"/>
      <w:rPr>
        <w:rFonts w:ascii="Times New Roman" w:eastAsia="Times New Roman" w:hAnsi="Times New Roman" w:cs="Times New Roman"/>
        <w:color w:val="000000"/>
        <w:sz w:val="18"/>
        <w:szCs w:val="18"/>
      </w:rPr>
    </w:pPr>
    <w:r w:rsidRPr="006177D7">
      <w:rPr>
        <w:rFonts w:ascii="Times New Roman" w:eastAsia="Times New Roman" w:hAnsi="Times New Roman" w:cs="Times New Roman"/>
        <w:color w:val="000000"/>
        <w:sz w:val="18"/>
        <w:szCs w:val="18"/>
      </w:rPr>
      <w:t>61 Broadway, Suite, 1710</w:t>
    </w:r>
  </w:p>
  <w:p w:rsidR="006177D7" w:rsidRPr="006177D7" w:rsidRDefault="006177D7" w:rsidP="006177D7">
    <w:pPr>
      <w:widowControl w:val="0"/>
      <w:kinsoku w:val="0"/>
      <w:spacing w:after="0" w:line="240" w:lineRule="auto"/>
      <w:ind w:left="3600" w:firstLine="360"/>
      <w:rPr>
        <w:rFonts w:ascii="Times New Roman" w:eastAsia="Times New Roman" w:hAnsi="Times New Roman" w:cs="Times New Roman"/>
        <w:color w:val="000000"/>
        <w:sz w:val="18"/>
        <w:szCs w:val="18"/>
      </w:rPr>
    </w:pPr>
    <w:r w:rsidRPr="006177D7">
      <w:rPr>
        <w:rFonts w:ascii="Times New Roman" w:eastAsia="Times New Roman" w:hAnsi="Times New Roman" w:cs="Times New Roman"/>
        <w:color w:val="000000"/>
        <w:sz w:val="18"/>
        <w:szCs w:val="18"/>
      </w:rPr>
      <w:t>New York, New York 10006</w:t>
    </w:r>
  </w:p>
  <w:p w:rsidR="006177D7" w:rsidRPr="006177D7" w:rsidRDefault="006177D7" w:rsidP="006177D7">
    <w:pPr>
      <w:widowControl w:val="0"/>
      <w:kinsoku w:val="0"/>
      <w:spacing w:after="0" w:line="240" w:lineRule="auto"/>
      <w:ind w:left="3600" w:firstLine="360"/>
      <w:rPr>
        <w:rFonts w:ascii="Times New Roman" w:eastAsia="Times New Roman" w:hAnsi="Times New Roman" w:cs="Times New Roman"/>
        <w:color w:val="000000"/>
        <w:sz w:val="18"/>
        <w:szCs w:val="18"/>
      </w:rPr>
    </w:pPr>
    <w:r w:rsidRPr="006177D7">
      <w:rPr>
        <w:rFonts w:ascii="Times New Roman" w:eastAsia="Times New Roman" w:hAnsi="Times New Roman" w:cs="Times New Roman"/>
        <w:color w:val="000000"/>
        <w:sz w:val="18"/>
        <w:szCs w:val="18"/>
      </w:rPr>
      <w:t>(212) 227-6440 - fax (212) 227-9854</w:t>
    </w:r>
  </w:p>
  <w:p w:rsidR="006177D7" w:rsidRPr="006177D7" w:rsidRDefault="004A5DE0" w:rsidP="006177D7">
    <w:pPr>
      <w:widowControl w:val="0"/>
      <w:kinsoku w:val="0"/>
      <w:spacing w:after="0" w:line="240" w:lineRule="auto"/>
      <w:ind w:left="3600" w:firstLine="360"/>
      <w:rPr>
        <w:rFonts w:ascii="Times New Roman" w:eastAsia="Times New Roman" w:hAnsi="Times New Roman" w:cs="Times New Roman"/>
        <w:color w:val="000000"/>
        <w:sz w:val="18"/>
        <w:szCs w:val="18"/>
      </w:rPr>
    </w:pPr>
    <w:hyperlink r:id="rId2" w:history="1">
      <w:r w:rsidR="006177D7" w:rsidRPr="006177D7">
        <w:rPr>
          <w:rFonts w:ascii="Times New Roman" w:eastAsia="Times New Roman" w:hAnsi="Times New Roman" w:cs="Times New Roman"/>
          <w:color w:val="0000FF"/>
          <w:sz w:val="18"/>
          <w:szCs w:val="18"/>
          <w:u w:val="single"/>
        </w:rPr>
        <w:t>www.nycosh.org</w:t>
      </w:r>
    </w:hyperlink>
  </w:p>
  <w:p w:rsidR="006177D7" w:rsidRDefault="006177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1A"/>
    <w:rsid w:val="00035327"/>
    <w:rsid w:val="000A1031"/>
    <w:rsid w:val="000D0726"/>
    <w:rsid w:val="00187200"/>
    <w:rsid w:val="00192EA6"/>
    <w:rsid w:val="002144D1"/>
    <w:rsid w:val="00254B79"/>
    <w:rsid w:val="002C7308"/>
    <w:rsid w:val="002D6C3F"/>
    <w:rsid w:val="002F37F7"/>
    <w:rsid w:val="00346450"/>
    <w:rsid w:val="00471D0E"/>
    <w:rsid w:val="004A5DE0"/>
    <w:rsid w:val="00507ECD"/>
    <w:rsid w:val="0055561A"/>
    <w:rsid w:val="00567C0D"/>
    <w:rsid w:val="00617111"/>
    <w:rsid w:val="006177D7"/>
    <w:rsid w:val="0065599C"/>
    <w:rsid w:val="00666C17"/>
    <w:rsid w:val="00690DF8"/>
    <w:rsid w:val="00735E09"/>
    <w:rsid w:val="007A65AF"/>
    <w:rsid w:val="007B5D68"/>
    <w:rsid w:val="00872F0B"/>
    <w:rsid w:val="00882253"/>
    <w:rsid w:val="008C0D07"/>
    <w:rsid w:val="008D2E76"/>
    <w:rsid w:val="008D6504"/>
    <w:rsid w:val="00A91735"/>
    <w:rsid w:val="00AE1CA6"/>
    <w:rsid w:val="00B92C1F"/>
    <w:rsid w:val="00BD5F3F"/>
    <w:rsid w:val="00C707F9"/>
    <w:rsid w:val="00DE76C4"/>
    <w:rsid w:val="00E46669"/>
    <w:rsid w:val="00EF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7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5561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5561A"/>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5556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61A"/>
    <w:rPr>
      <w:sz w:val="20"/>
      <w:szCs w:val="20"/>
    </w:rPr>
  </w:style>
  <w:style w:type="character" w:styleId="FootnoteReference">
    <w:name w:val="footnote reference"/>
    <w:basedOn w:val="DefaultParagraphFont"/>
    <w:uiPriority w:val="99"/>
    <w:semiHidden/>
    <w:unhideWhenUsed/>
    <w:rsid w:val="0055561A"/>
    <w:rPr>
      <w:vertAlign w:val="superscript"/>
    </w:rPr>
  </w:style>
  <w:style w:type="character" w:styleId="CommentReference">
    <w:name w:val="annotation reference"/>
    <w:basedOn w:val="DefaultParagraphFont"/>
    <w:uiPriority w:val="99"/>
    <w:semiHidden/>
    <w:unhideWhenUsed/>
    <w:rsid w:val="002144D1"/>
    <w:rPr>
      <w:sz w:val="16"/>
      <w:szCs w:val="16"/>
    </w:rPr>
  </w:style>
  <w:style w:type="character" w:customStyle="1" w:styleId="apple-converted-space">
    <w:name w:val="apple-converted-space"/>
    <w:basedOn w:val="DefaultParagraphFont"/>
    <w:rsid w:val="002144D1"/>
  </w:style>
  <w:style w:type="character" w:styleId="Strong">
    <w:name w:val="Strong"/>
    <w:basedOn w:val="DefaultParagraphFont"/>
    <w:uiPriority w:val="22"/>
    <w:qFormat/>
    <w:rsid w:val="002144D1"/>
    <w:rPr>
      <w:b/>
      <w:bCs/>
    </w:rPr>
  </w:style>
  <w:style w:type="paragraph" w:styleId="Header">
    <w:name w:val="header"/>
    <w:basedOn w:val="Normal"/>
    <w:link w:val="HeaderChar"/>
    <w:uiPriority w:val="99"/>
    <w:unhideWhenUsed/>
    <w:rsid w:val="00617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7D7"/>
  </w:style>
  <w:style w:type="paragraph" w:styleId="Footer">
    <w:name w:val="footer"/>
    <w:basedOn w:val="Normal"/>
    <w:link w:val="FooterChar"/>
    <w:uiPriority w:val="99"/>
    <w:unhideWhenUsed/>
    <w:rsid w:val="00617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7D7"/>
  </w:style>
  <w:style w:type="character" w:customStyle="1" w:styleId="Heading1Char">
    <w:name w:val="Heading 1 Char"/>
    <w:basedOn w:val="DefaultParagraphFont"/>
    <w:link w:val="Heading1"/>
    <w:uiPriority w:val="9"/>
    <w:rsid w:val="00507E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7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5561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5561A"/>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5556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61A"/>
    <w:rPr>
      <w:sz w:val="20"/>
      <w:szCs w:val="20"/>
    </w:rPr>
  </w:style>
  <w:style w:type="character" w:styleId="FootnoteReference">
    <w:name w:val="footnote reference"/>
    <w:basedOn w:val="DefaultParagraphFont"/>
    <w:uiPriority w:val="99"/>
    <w:semiHidden/>
    <w:unhideWhenUsed/>
    <w:rsid w:val="0055561A"/>
    <w:rPr>
      <w:vertAlign w:val="superscript"/>
    </w:rPr>
  </w:style>
  <w:style w:type="character" w:styleId="CommentReference">
    <w:name w:val="annotation reference"/>
    <w:basedOn w:val="DefaultParagraphFont"/>
    <w:uiPriority w:val="99"/>
    <w:semiHidden/>
    <w:unhideWhenUsed/>
    <w:rsid w:val="002144D1"/>
    <w:rPr>
      <w:sz w:val="16"/>
      <w:szCs w:val="16"/>
    </w:rPr>
  </w:style>
  <w:style w:type="character" w:customStyle="1" w:styleId="apple-converted-space">
    <w:name w:val="apple-converted-space"/>
    <w:basedOn w:val="DefaultParagraphFont"/>
    <w:rsid w:val="002144D1"/>
  </w:style>
  <w:style w:type="character" w:styleId="Strong">
    <w:name w:val="Strong"/>
    <w:basedOn w:val="DefaultParagraphFont"/>
    <w:uiPriority w:val="22"/>
    <w:qFormat/>
    <w:rsid w:val="002144D1"/>
    <w:rPr>
      <w:b/>
      <w:bCs/>
    </w:rPr>
  </w:style>
  <w:style w:type="paragraph" w:styleId="Header">
    <w:name w:val="header"/>
    <w:basedOn w:val="Normal"/>
    <w:link w:val="HeaderChar"/>
    <w:uiPriority w:val="99"/>
    <w:unhideWhenUsed/>
    <w:rsid w:val="00617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7D7"/>
  </w:style>
  <w:style w:type="paragraph" w:styleId="Footer">
    <w:name w:val="footer"/>
    <w:basedOn w:val="Normal"/>
    <w:link w:val="FooterChar"/>
    <w:uiPriority w:val="99"/>
    <w:unhideWhenUsed/>
    <w:rsid w:val="00617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7D7"/>
  </w:style>
  <w:style w:type="character" w:customStyle="1" w:styleId="Heading1Char">
    <w:name w:val="Heading 1 Char"/>
    <w:basedOn w:val="DefaultParagraphFont"/>
    <w:link w:val="Heading1"/>
    <w:uiPriority w:val="9"/>
    <w:rsid w:val="00507E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9791">
      <w:bodyDiv w:val="1"/>
      <w:marLeft w:val="0"/>
      <w:marRight w:val="0"/>
      <w:marTop w:val="0"/>
      <w:marBottom w:val="0"/>
      <w:divBdr>
        <w:top w:val="none" w:sz="0" w:space="0" w:color="auto"/>
        <w:left w:val="none" w:sz="0" w:space="0" w:color="auto"/>
        <w:bottom w:val="none" w:sz="0" w:space="0" w:color="auto"/>
        <w:right w:val="none" w:sz="0" w:space="0" w:color="auto"/>
      </w:divBdr>
    </w:div>
    <w:div w:id="119500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ycos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tschnurr</cp:lastModifiedBy>
  <cp:revision>2</cp:revision>
  <cp:lastPrinted>2013-06-10T17:32:00Z</cp:lastPrinted>
  <dcterms:created xsi:type="dcterms:W3CDTF">2013-06-10T20:00:00Z</dcterms:created>
  <dcterms:modified xsi:type="dcterms:W3CDTF">2013-06-10T20:00:00Z</dcterms:modified>
</cp:coreProperties>
</file>