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00" w:type="dxa"/>
        <w:tblCellSpacing w:w="0" w:type="dxa"/>
        <w:tblCellMar>
          <w:left w:w="0" w:type="dxa"/>
          <w:right w:w="0" w:type="dxa"/>
        </w:tblCellMar>
        <w:tblLook w:val="0000" w:firstRow="0" w:lastRow="0" w:firstColumn="0" w:lastColumn="0" w:noHBand="0" w:noVBand="0"/>
      </w:tblPr>
      <w:tblGrid>
        <w:gridCol w:w="8400"/>
      </w:tblGrid>
      <w:tr w:rsidR="009540A1" w:rsidRPr="006C45F2" w:rsidTr="00DA404F">
        <w:trPr>
          <w:tblCellSpacing w:w="0" w:type="dxa"/>
        </w:trPr>
        <w:tc>
          <w:tcPr>
            <w:tcW w:w="0" w:type="auto"/>
            <w:vAlign w:val="center"/>
          </w:tcPr>
          <w:p w:rsidR="009540A1" w:rsidRPr="00B0166D" w:rsidRDefault="009540A1" w:rsidP="00DA404F">
            <w:pPr>
              <w:rPr>
                <w:rFonts w:ascii="Arial" w:hAnsi="Arial" w:cs="Arial"/>
                <w:b/>
                <w:color w:val="818286"/>
                <w:sz w:val="32"/>
                <w:szCs w:val="32"/>
                <w:u w:val="single"/>
              </w:rPr>
            </w:pPr>
            <w:r w:rsidRPr="00B0166D">
              <w:rPr>
                <w:rFonts w:ascii="Arial" w:hAnsi="Arial" w:cs="Arial"/>
                <w:b/>
                <w:color w:val="818286"/>
                <w:sz w:val="32"/>
                <w:szCs w:val="32"/>
                <w:u w:val="single"/>
              </w:rPr>
              <w:t>Mortgage preparation made simple</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extent cx="628650" cy="142875"/>
                  <wp:effectExtent l="0" t="0" r="0" b="0"/>
                  <wp:docPr id="50" name="Picture 50"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142875"/>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Buying a home is probably the single largest investment most people make in a lifetime. By preparing yourself and your credit profile before a home purchase, you can ensure a smooth finance process and can potentially save thousands on your loan.</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333333"/>
                <w:sz w:val="18"/>
                <w:szCs w:val="18"/>
              </w:rPr>
            </w:pP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extent cx="628650" cy="95250"/>
                  <wp:effectExtent l="0" t="0" r="0" b="0"/>
                  <wp:docPr id="49" name="Picture 49"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tbl>
            <w:tblPr>
              <w:tblW w:w="8400" w:type="dxa"/>
              <w:tblCellSpacing w:w="0" w:type="dxa"/>
              <w:tblCellMar>
                <w:left w:w="0" w:type="dxa"/>
                <w:right w:w="0" w:type="dxa"/>
              </w:tblCellMar>
              <w:tblLook w:val="0000" w:firstRow="0" w:lastRow="0" w:firstColumn="0" w:lastColumn="0" w:noHBand="0" w:noVBand="0"/>
            </w:tblPr>
            <w:tblGrid>
              <w:gridCol w:w="900"/>
              <w:gridCol w:w="300"/>
              <w:gridCol w:w="7200"/>
            </w:tblGrid>
            <w:tr w:rsidR="009540A1" w:rsidRPr="006C45F2" w:rsidTr="00DA404F">
              <w:trPr>
                <w:tblCellSpacing w:w="0" w:type="dxa"/>
              </w:trPr>
              <w:tc>
                <w:tcPr>
                  <w:tcW w:w="900" w:type="dxa"/>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extent cx="571500" cy="95250"/>
                        <wp:effectExtent l="0" t="0" r="0" b="0"/>
                        <wp:docPr id="48" name="Picture 4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300" w:type="dxa"/>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7950" w:type="dxa"/>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To get the best possible mortgage rate, make sure your credit history is healthy and accurate. Aim to raise your credit score above 650 in order to qualify for most prime loans.</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extent cx="571500" cy="95250"/>
                        <wp:effectExtent l="0" t="0" r="0" b="0"/>
                        <wp:docPr id="47" name="Picture 47"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extent cx="190500" cy="95250"/>
                        <wp:effectExtent l="0" t="0" r="0" b="0"/>
                        <wp:docPr id="46" name="Picture 4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extent cx="571500" cy="95250"/>
                        <wp:effectExtent l="0" t="0" r="0" b="0"/>
                        <wp:docPr id="45" name="Picture 4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bookmarkStart w:id="0" w:name="/orderOrigination?op=LoanPrep:Body&amp;produ" w:colFirst="2" w:colLast="2"/>
                  <w:r>
                    <w:rPr>
                      <w:rFonts w:ascii="Arial" w:hAnsi="Arial" w:cs="Arial"/>
                      <w:noProof/>
                      <w:color w:val="000000"/>
                      <w:sz w:val="20"/>
                      <w:szCs w:val="20"/>
                    </w:rPr>
                    <w:drawing>
                      <wp:inline distT="0" distB="0" distL="0" distR="0" wp14:anchorId="5438CB13" wp14:editId="21D37783">
                        <wp:extent cx="571500" cy="95250"/>
                        <wp:effectExtent l="0" t="0" r="0" b="0"/>
                        <wp:docPr id="44" name="Picture 4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0" w:type="auto"/>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 xml:space="preserve">If your credit score is not quite 650, focus your efforts on paying bills on time, reducing your debt balances, avoiding new inquiries and clearing negative inaccuracies from your </w:t>
                  </w:r>
                  <w:hyperlink r:id="rId8" w:history="1">
                    <w:r w:rsidRPr="006C45F2">
                      <w:rPr>
                        <w:rFonts w:ascii="Arial" w:hAnsi="Arial" w:cs="Arial"/>
                        <w:color w:val="006699"/>
                        <w:sz w:val="18"/>
                        <w:u w:val="single"/>
                      </w:rPr>
                      <w:t>credit report</w:t>
                    </w:r>
                  </w:hyperlink>
                  <w:r w:rsidRPr="006C45F2">
                    <w:rPr>
                      <w:rFonts w:ascii="Arial" w:hAnsi="Arial" w:cs="Arial"/>
                      <w:color w:val="333333"/>
                      <w:sz w:val="18"/>
                      <w:szCs w:val="18"/>
                    </w:rPr>
                    <w:t>. It is possible to improve your credit score quite a bit over a few months.</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489CADBD" wp14:editId="3DC1FAA3">
                        <wp:extent cx="571500" cy="95250"/>
                        <wp:effectExtent l="0" t="0" r="0" b="0"/>
                        <wp:docPr id="43" name="Picture 4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55B903EC" wp14:editId="35D8643B">
                        <wp:extent cx="190500" cy="95250"/>
                        <wp:effectExtent l="0" t="0" r="0" b="0"/>
                        <wp:docPr id="42" name="Picture 4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4989E9B3" wp14:editId="4AD74FB1">
                        <wp:extent cx="571500" cy="95250"/>
                        <wp:effectExtent l="0" t="0" r="0" b="0"/>
                        <wp:docPr id="41" name="Picture 4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41192712" wp14:editId="7CFCBB59">
                        <wp:extent cx="571500" cy="95250"/>
                        <wp:effectExtent l="0" t="0" r="0" b="0"/>
                        <wp:docPr id="40" name="Picture 40"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0" w:type="auto"/>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 xml:space="preserve">Make sure the information on your </w:t>
                  </w:r>
                  <w:hyperlink r:id="rId9" w:history="1">
                    <w:r w:rsidRPr="006C45F2">
                      <w:rPr>
                        <w:rFonts w:ascii="Arial" w:hAnsi="Arial" w:cs="Arial"/>
                        <w:color w:val="006699"/>
                        <w:sz w:val="18"/>
                        <w:u w:val="single"/>
                      </w:rPr>
                      <w:t>credit report</w:t>
                    </w:r>
                  </w:hyperlink>
                  <w:r w:rsidRPr="006C45F2">
                    <w:rPr>
                      <w:rFonts w:ascii="Arial" w:hAnsi="Arial" w:cs="Arial"/>
                      <w:color w:val="333333"/>
                      <w:sz w:val="18"/>
                      <w:szCs w:val="18"/>
                    </w:rPr>
                    <w:t xml:space="preserve"> is correct and fix any problems you discover. Give yourself 30-90 days for correcting inaccuracies. </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06AC2F0F" wp14:editId="16961151">
                        <wp:extent cx="571500" cy="95250"/>
                        <wp:effectExtent l="0" t="0" r="0" b="0"/>
                        <wp:docPr id="39" name="Picture 39"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1623131D" wp14:editId="5AA10C56">
                        <wp:extent cx="190500" cy="95250"/>
                        <wp:effectExtent l="0" t="0" r="0" b="0"/>
                        <wp:docPr id="38" name="Picture 3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6F63200C" wp14:editId="48D16046">
                        <wp:extent cx="571500" cy="95250"/>
                        <wp:effectExtent l="0" t="0" r="0" b="0"/>
                        <wp:docPr id="37" name="Picture 37"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23673745" wp14:editId="49C023BD">
                        <wp:extent cx="571500" cy="95250"/>
                        <wp:effectExtent l="0" t="0" r="0" b="0"/>
                        <wp:docPr id="36" name="Picture 3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0" w:type="auto"/>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Found an error while reviewing your credit with the lender? Ask about the “rapid rescoring” process where your lender can submit a dispute and potentially improve your credit score in 72 hours.</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6B27E30C" wp14:editId="743E37F2">
                        <wp:extent cx="571500" cy="95250"/>
                        <wp:effectExtent l="0" t="0" r="0" b="0"/>
                        <wp:docPr id="35" name="Picture 3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11F53108" wp14:editId="0666CBF6">
                        <wp:extent cx="190500" cy="95250"/>
                        <wp:effectExtent l="0" t="0" r="0" b="0"/>
                        <wp:docPr id="34" name="Picture 3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30AB5DDB" wp14:editId="393C6AF5">
                        <wp:extent cx="571500" cy="95250"/>
                        <wp:effectExtent l="0" t="0" r="0" b="0"/>
                        <wp:docPr id="33" name="Picture 3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5DE00F05" wp14:editId="77AD20BC">
                        <wp:extent cx="571500" cy="95250"/>
                        <wp:effectExtent l="0" t="0" r="0" b="0"/>
                        <wp:docPr id="32" name="Picture 3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0" w:type="auto"/>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 xml:space="preserve">For a complete understanding of your credit history, check your </w:t>
                  </w:r>
                  <w:hyperlink r:id="rId10" w:history="1">
                    <w:r w:rsidRPr="006C45F2">
                      <w:rPr>
                        <w:rFonts w:ascii="Arial" w:hAnsi="Arial" w:cs="Arial"/>
                        <w:color w:val="006699"/>
                        <w:sz w:val="18"/>
                        <w:u w:val="single"/>
                      </w:rPr>
                      <w:t>3-in-1 Credit Report</w:t>
                    </w:r>
                  </w:hyperlink>
                  <w:r w:rsidRPr="006C45F2">
                    <w:rPr>
                      <w:rFonts w:ascii="Arial" w:hAnsi="Arial" w:cs="Arial"/>
                      <w:color w:val="333333"/>
                      <w:sz w:val="18"/>
                      <w:szCs w:val="18"/>
                    </w:rPr>
                    <w:t xml:space="preserve"> and Credit Scores online.</w:t>
                  </w:r>
                </w:p>
              </w:tc>
            </w:tr>
            <w:bookmarkEnd w:id="0"/>
          </w:tbl>
          <w:p w:rsidR="009540A1" w:rsidRPr="006C45F2" w:rsidRDefault="009540A1" w:rsidP="00DA404F">
            <w:pPr>
              <w:rPr>
                <w:rFonts w:ascii="Arial" w:hAnsi="Arial" w:cs="Arial"/>
                <w:color w:val="333333"/>
                <w:sz w:val="18"/>
                <w:szCs w:val="18"/>
              </w:rPr>
            </w:pPr>
          </w:p>
        </w:tc>
        <w:bookmarkStart w:id="1" w:name="_GoBack"/>
        <w:bookmarkEnd w:id="1"/>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47CDB80B" wp14:editId="3A1A5FA1">
                  <wp:extent cx="628650" cy="47625"/>
                  <wp:effectExtent l="0" t="0" r="0" b="0"/>
                  <wp:docPr id="31" name="Picture 3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47625"/>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B0166D" w:rsidRDefault="009540A1" w:rsidP="00DA404F">
            <w:pPr>
              <w:rPr>
                <w:rFonts w:ascii="Arial" w:hAnsi="Arial" w:cs="Arial"/>
                <w:color w:val="333333"/>
                <w:sz w:val="18"/>
                <w:szCs w:val="18"/>
                <w:u w:val="single"/>
              </w:rPr>
            </w:pPr>
            <w:r w:rsidRPr="00B0166D">
              <w:rPr>
                <w:rFonts w:ascii="Arial" w:hAnsi="Arial" w:cs="Arial"/>
                <w:b/>
                <w:bCs/>
                <w:color w:val="333333"/>
                <w:sz w:val="18"/>
                <w:szCs w:val="18"/>
                <w:u w:val="single"/>
              </w:rPr>
              <w:t>Figure out how much you can afford</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20D370F7" wp14:editId="6AA18686">
                  <wp:extent cx="628650" cy="95250"/>
                  <wp:effectExtent l="0" t="0" r="0" b="0"/>
                  <wp:docPr id="30" name="Picture 30"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tbl>
            <w:tblPr>
              <w:tblW w:w="8400" w:type="dxa"/>
              <w:tblCellSpacing w:w="0" w:type="dxa"/>
              <w:tblCellMar>
                <w:left w:w="0" w:type="dxa"/>
                <w:right w:w="0" w:type="dxa"/>
              </w:tblCellMar>
              <w:tblLook w:val="0000" w:firstRow="0" w:lastRow="0" w:firstColumn="0" w:lastColumn="0" w:noHBand="0" w:noVBand="0"/>
            </w:tblPr>
            <w:tblGrid>
              <w:gridCol w:w="900"/>
              <w:gridCol w:w="300"/>
              <w:gridCol w:w="7200"/>
            </w:tblGrid>
            <w:tr w:rsidR="009540A1" w:rsidRPr="006C45F2" w:rsidTr="00DA404F">
              <w:trPr>
                <w:tblCellSpacing w:w="0" w:type="dxa"/>
              </w:trPr>
              <w:tc>
                <w:tcPr>
                  <w:tcW w:w="900" w:type="dxa"/>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51B2B7DE" wp14:editId="50449CC9">
                        <wp:extent cx="571500" cy="95250"/>
                        <wp:effectExtent l="0" t="0" r="0" b="0"/>
                        <wp:docPr id="29" name="Picture 29"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300" w:type="dxa"/>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7950" w:type="dxa"/>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The rule of thumb is that most borrowers can afford a home that runs about two and a half times their annual salary.</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733F9C64" wp14:editId="6A5F8C35">
                        <wp:extent cx="571500" cy="95250"/>
                        <wp:effectExtent l="0" t="0" r="0" b="0"/>
                        <wp:docPr id="28" name="Picture 2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6E92AC09" wp14:editId="0BDECCDC">
                        <wp:extent cx="190500" cy="95250"/>
                        <wp:effectExtent l="0" t="0" r="0" b="0"/>
                        <wp:docPr id="27" name="Picture 27"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7D65C37F" wp14:editId="4409EC74">
                        <wp:extent cx="571500" cy="95250"/>
                        <wp:effectExtent l="0" t="0" r="0" b="0"/>
                        <wp:docPr id="26" name="Picture 2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4BC0E7CB" wp14:editId="428945CA">
                        <wp:extent cx="571500" cy="95250"/>
                        <wp:effectExtent l="0" t="0" r="0" b="0"/>
                        <wp:docPr id="25" name="Picture 2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0" w:type="auto"/>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Calculate your loan-to-value ratio to see how much you can afford to borrow by dividing the loan amount by the property’s value. If your loan-to-value ratio is above 80% your rates may increase significantly. Find a less expensive home or save up for a down payment to lower this percentage.</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27473791" wp14:editId="722B7FB4">
                        <wp:extent cx="571500" cy="95250"/>
                        <wp:effectExtent l="0" t="0" r="0" b="0"/>
                        <wp:docPr id="24" name="Picture 2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09CF07EB" wp14:editId="666F68A8">
                        <wp:extent cx="190500" cy="95250"/>
                        <wp:effectExtent l="0" t="0" r="0" b="0"/>
                        <wp:docPr id="23" name="Picture 2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5B0EEE44" wp14:editId="66D77C7E">
                        <wp:extent cx="571500" cy="95250"/>
                        <wp:effectExtent l="0" t="0" r="0" b="0"/>
                        <wp:docPr id="22" name="Picture 2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73CFED26" wp14:editId="0AC9C2EB">
                        <wp:extent cx="571500" cy="95250"/>
                        <wp:effectExtent l="0" t="0" r="0" b="0"/>
                        <wp:docPr id="21" name="Picture 2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0" w:type="auto"/>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Calculate your debt-to-income ratio by adding up your monthly debts and dividing by your monthly income. A debt-to-income ratio under 20-30% is usually considered good and will help you be perceived as financially stable.</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79476B70" wp14:editId="43F19F20">
                        <wp:extent cx="571500" cy="95250"/>
                        <wp:effectExtent l="0" t="0" r="0" b="0"/>
                        <wp:docPr id="20" name="Picture 20"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277256C8" wp14:editId="68780D6C">
                        <wp:extent cx="190500" cy="95250"/>
                        <wp:effectExtent l="0" t="0" r="0" b="0"/>
                        <wp:docPr id="19" name="Picture 19"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60A7CF1C" wp14:editId="20C14E13">
                        <wp:extent cx="571500" cy="95250"/>
                        <wp:effectExtent l="0" t="0" r="0" b="0"/>
                        <wp:docPr id="18" name="Picture 1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32DCEDC5" wp14:editId="609A6140">
                        <wp:extent cx="571500" cy="95250"/>
                        <wp:effectExtent l="0" t="0" r="0" b="0"/>
                        <wp:docPr id="17" name="Picture 17"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0" w:type="auto"/>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Don’t be afraid to start small. Just because you may qualify for a large loan doesn’t mean that it is a smart financial decision to buy as large a home as possible. Take a careful look at your family budget and your housing needs before you decide how much you can really afford.</w:t>
                  </w:r>
                </w:p>
              </w:tc>
            </w:tr>
          </w:tbl>
          <w:p w:rsidR="009540A1" w:rsidRPr="006C45F2" w:rsidRDefault="009540A1" w:rsidP="00DA404F">
            <w:pPr>
              <w:rPr>
                <w:rFonts w:ascii="Arial" w:hAnsi="Arial" w:cs="Arial"/>
                <w:color w:val="333333"/>
                <w:sz w:val="18"/>
                <w:szCs w:val="18"/>
              </w:rPr>
            </w:pP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1D91C76B" wp14:editId="7C9C0E50">
                  <wp:extent cx="628650" cy="47625"/>
                  <wp:effectExtent l="0" t="0" r="0" b="0"/>
                  <wp:docPr id="16" name="Picture 1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47625"/>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B0166D" w:rsidRDefault="009540A1" w:rsidP="00DA404F">
            <w:pPr>
              <w:rPr>
                <w:rFonts w:ascii="Arial" w:hAnsi="Arial" w:cs="Arial"/>
                <w:color w:val="333333"/>
                <w:sz w:val="18"/>
                <w:szCs w:val="18"/>
                <w:u w:val="single"/>
              </w:rPr>
            </w:pPr>
            <w:r w:rsidRPr="00B0166D">
              <w:rPr>
                <w:rFonts w:ascii="Arial" w:hAnsi="Arial" w:cs="Arial"/>
                <w:b/>
                <w:bCs/>
                <w:color w:val="333333"/>
                <w:sz w:val="18"/>
                <w:szCs w:val="18"/>
                <w:u w:val="single"/>
              </w:rPr>
              <w:t>Pick a mortgage to fit your finances</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09DE06FB" wp14:editId="25BE7EA9">
                  <wp:extent cx="628650" cy="95250"/>
                  <wp:effectExtent l="0" t="0" r="0" b="0"/>
                  <wp:docPr id="15" name="Picture 1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tbl>
            <w:tblPr>
              <w:tblW w:w="8400" w:type="dxa"/>
              <w:tblCellSpacing w:w="0" w:type="dxa"/>
              <w:tblCellMar>
                <w:left w:w="0" w:type="dxa"/>
                <w:right w:w="0" w:type="dxa"/>
              </w:tblCellMar>
              <w:tblLook w:val="0000" w:firstRow="0" w:lastRow="0" w:firstColumn="0" w:lastColumn="0" w:noHBand="0" w:noVBand="0"/>
            </w:tblPr>
            <w:tblGrid>
              <w:gridCol w:w="900"/>
              <w:gridCol w:w="300"/>
              <w:gridCol w:w="7200"/>
            </w:tblGrid>
            <w:tr w:rsidR="009540A1" w:rsidRPr="006C45F2" w:rsidTr="00DA404F">
              <w:trPr>
                <w:tblCellSpacing w:w="0" w:type="dxa"/>
              </w:trPr>
              <w:tc>
                <w:tcPr>
                  <w:tcW w:w="900" w:type="dxa"/>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180DEB12" wp14:editId="68FFC490">
                        <wp:extent cx="571500" cy="95250"/>
                        <wp:effectExtent l="0" t="0" r="0" b="0"/>
                        <wp:docPr id="14" name="Picture 1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300" w:type="dxa"/>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7950" w:type="dxa"/>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Fixed rate mortgages have a set monthly payment that remains constant through the life of the loan. The interest rates tend to be a bit higher on fixed rate loans.</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3724BCE7" wp14:editId="176FB5AC">
                        <wp:extent cx="571500" cy="95250"/>
                        <wp:effectExtent l="0" t="0" r="0" b="0"/>
                        <wp:docPr id="13" name="Picture 1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33995376" wp14:editId="1C23B6C1">
                        <wp:extent cx="190500" cy="95250"/>
                        <wp:effectExtent l="0" t="0" r="0" b="0"/>
                        <wp:docPr id="12" name="Picture 1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2126B845" wp14:editId="657804B5">
                        <wp:extent cx="571500" cy="95250"/>
                        <wp:effectExtent l="0" t="0" r="0" b="0"/>
                        <wp:docPr id="11" name="Picture 1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48598532" wp14:editId="2D57A928">
                        <wp:extent cx="571500" cy="95250"/>
                        <wp:effectExtent l="0" t="0" r="0" b="0"/>
                        <wp:docPr id="10" name="Picture 10"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0" w:type="auto"/>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Adjustable rate mortgages give you a lower initial interest rate with the risk of it rising in years to come. If interest rates decrease you will have an advantage over fixed rate borrowers. Setting a rate cap about 5-6% above your initial rate will protect you from extreme jumps in interest rates.</w:t>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17011CC7" wp14:editId="20B9CF71">
                        <wp:extent cx="571500" cy="95250"/>
                        <wp:effectExtent l="0" t="0" r="0" b="0"/>
                        <wp:docPr id="9" name="Picture 9"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1357F107" wp14:editId="2FC65E41">
                        <wp:extent cx="190500" cy="95250"/>
                        <wp:effectExtent l="0" t="0" r="0" b="0"/>
                        <wp:docPr id="8" name="Picture 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681AACBE" wp14:editId="6261D9A6">
                        <wp:extent cx="571500" cy="95250"/>
                        <wp:effectExtent l="0" t="0" r="0" b="0"/>
                        <wp:docPr id="7" name="Picture 7"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5EE7B355" wp14:editId="79D7B1A5">
                        <wp:extent cx="571500" cy="95250"/>
                        <wp:effectExtent l="0" t="0" r="0" b="0"/>
                        <wp:docPr id="6" name="Picture 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0" w:type="auto"/>
                  <w:vAlign w:val="center"/>
                </w:tcPr>
                <w:p w:rsidR="009540A1" w:rsidRDefault="009540A1" w:rsidP="00DA404F">
                  <w:pPr>
                    <w:rPr>
                      <w:rFonts w:ascii="Arial" w:hAnsi="Arial" w:cs="Arial"/>
                      <w:color w:val="333333"/>
                      <w:sz w:val="18"/>
                      <w:szCs w:val="18"/>
                    </w:rPr>
                  </w:pPr>
                  <w:r w:rsidRPr="006C45F2">
                    <w:rPr>
                      <w:rFonts w:ascii="Arial" w:hAnsi="Arial" w:cs="Arial"/>
                      <w:color w:val="333333"/>
                      <w:sz w:val="18"/>
                      <w:szCs w:val="18"/>
                    </w:rPr>
                    <w:t>Short term mortgages are loans with terms less than 30-years long. While these mortgages offer lower interest rates, they have higher monthly payments and more difficult qualification standards.</w:t>
                  </w:r>
                </w:p>
                <w:p w:rsidR="009540A1" w:rsidRPr="006C45F2" w:rsidRDefault="009540A1" w:rsidP="00DA404F">
                  <w:pPr>
                    <w:rPr>
                      <w:rFonts w:ascii="Arial" w:hAnsi="Arial" w:cs="Arial"/>
                      <w:color w:val="333333"/>
                      <w:sz w:val="18"/>
                      <w:szCs w:val="18"/>
                    </w:rPr>
                  </w:pP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62C70B1D" wp14:editId="09024143">
                        <wp:extent cx="571500" cy="95250"/>
                        <wp:effectExtent l="0" t="0" r="0" b="0"/>
                        <wp:docPr id="5" name="Picture 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368E6621" wp14:editId="0FF0E213">
                        <wp:extent cx="190500" cy="95250"/>
                        <wp:effectExtent l="0" t="0" r="0" b="0"/>
                        <wp:docPr id="4" name="Picture 4"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drawing>
                      <wp:inline distT="0" distB="0" distL="0" distR="0" wp14:anchorId="271D9D77" wp14:editId="362E984D">
                        <wp:extent cx="571500" cy="95250"/>
                        <wp:effectExtent l="0" t="0" r="0" b="0"/>
                        <wp:docPr id="3" name="Picture 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3495930C" wp14:editId="6936FB5D">
                        <wp:extent cx="571500" cy="95250"/>
                        <wp:effectExtent l="0" t="0" r="0" b="0"/>
                        <wp:docPr id="2" name="Picture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5250"/>
                                </a:xfrm>
                                <a:prstGeom prst="rect">
                                  <a:avLst/>
                                </a:prstGeom>
                                <a:noFill/>
                                <a:ln>
                                  <a:noFill/>
                                </a:ln>
                              </pic:spPr>
                            </pic:pic>
                          </a:graphicData>
                        </a:graphic>
                      </wp:inline>
                    </w:drawing>
                  </w:r>
                </w:p>
              </w:tc>
              <w:tc>
                <w:tcPr>
                  <w:tcW w:w="0" w:type="auto"/>
                </w:tcPr>
                <w:p w:rsidR="009540A1" w:rsidRPr="006C45F2" w:rsidRDefault="009540A1" w:rsidP="00DA404F">
                  <w:pPr>
                    <w:rPr>
                      <w:rFonts w:ascii="Arial" w:hAnsi="Arial" w:cs="Arial"/>
                      <w:color w:val="000000"/>
                      <w:sz w:val="20"/>
                      <w:szCs w:val="20"/>
                    </w:rPr>
                  </w:pPr>
                  <w:r w:rsidRPr="006C45F2">
                    <w:rPr>
                      <w:rFonts w:ascii="Arial" w:hAnsi="Arial" w:cs="Arial"/>
                      <w:color w:val="000000"/>
                      <w:sz w:val="20"/>
                      <w:szCs w:val="20"/>
                    </w:rPr>
                    <w:t>•</w:t>
                  </w:r>
                </w:p>
              </w:tc>
              <w:tc>
                <w:tcPr>
                  <w:tcW w:w="0" w:type="auto"/>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Long term mortgages are loans with terms of 30-years or more. These mortgages have slightly higher interest rates but lower monthly payments, allowing for easier qualification.</w:t>
                  </w:r>
                </w:p>
              </w:tc>
            </w:tr>
          </w:tbl>
          <w:p w:rsidR="009540A1" w:rsidRPr="006C45F2" w:rsidRDefault="009540A1" w:rsidP="00DA404F">
            <w:pPr>
              <w:rPr>
                <w:rFonts w:ascii="Arial" w:hAnsi="Arial" w:cs="Arial"/>
                <w:color w:val="333333"/>
                <w:sz w:val="18"/>
                <w:szCs w:val="18"/>
              </w:rPr>
            </w:pP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7D560DFA" wp14:editId="69631EF0">
                  <wp:extent cx="3810000" cy="47625"/>
                  <wp:effectExtent l="0" t="0" r="0" b="0"/>
                  <wp:docPr id="1" name="Picture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7625"/>
                          </a:xfrm>
                          <a:prstGeom prst="rect">
                            <a:avLst/>
                          </a:prstGeom>
                          <a:noFill/>
                          <a:ln>
                            <a:noFill/>
                          </a:ln>
                        </pic:spPr>
                      </pic:pic>
                    </a:graphicData>
                  </a:graphic>
                </wp:inline>
              </w:drawing>
            </w:r>
          </w:p>
        </w:tc>
      </w:tr>
      <w:tr w:rsidR="009540A1" w:rsidRPr="006C45F2" w:rsidTr="00DA404F">
        <w:trPr>
          <w:tblCellSpacing w:w="0" w:type="dxa"/>
        </w:trPr>
        <w:tc>
          <w:tcPr>
            <w:tcW w:w="0" w:type="auto"/>
            <w:vAlign w:val="center"/>
          </w:tcPr>
          <w:p w:rsidR="009540A1" w:rsidRPr="006C45F2" w:rsidRDefault="009540A1" w:rsidP="00DA404F">
            <w:pPr>
              <w:rPr>
                <w:rFonts w:ascii="Arial" w:hAnsi="Arial" w:cs="Arial"/>
                <w:color w:val="333333"/>
                <w:sz w:val="18"/>
                <w:szCs w:val="18"/>
              </w:rPr>
            </w:pPr>
            <w:r w:rsidRPr="006C45F2">
              <w:rPr>
                <w:rFonts w:ascii="Arial" w:hAnsi="Arial" w:cs="Arial"/>
                <w:color w:val="333333"/>
                <w:sz w:val="18"/>
                <w:szCs w:val="18"/>
              </w:rPr>
              <w:t xml:space="preserve">Improving your finances before you start to shop can help you save thousands on your mortgage. Reducing your loan rate by just half a point can potentially save you a whopping $22,000 over the life of a $200,000 loan. </w:t>
            </w:r>
          </w:p>
        </w:tc>
      </w:tr>
    </w:tbl>
    <w:p w:rsidR="009540A1" w:rsidRDefault="009540A1" w:rsidP="009540A1"/>
    <w:p w:rsidR="00654D94" w:rsidRDefault="00654D94"/>
    <w:sectPr w:rsidR="00654D94" w:rsidSect="009540A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9E" w:rsidRDefault="00DA079E" w:rsidP="009540A1">
      <w:r>
        <w:separator/>
      </w:r>
    </w:p>
  </w:endnote>
  <w:endnote w:type="continuationSeparator" w:id="0">
    <w:p w:rsidR="00DA079E" w:rsidRDefault="00DA079E" w:rsidP="0095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1" w:rsidRDefault="00954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1" w:rsidRDefault="009540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1" w:rsidRDefault="00954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9E" w:rsidRDefault="00DA079E" w:rsidP="009540A1">
      <w:r>
        <w:separator/>
      </w:r>
    </w:p>
  </w:footnote>
  <w:footnote w:type="continuationSeparator" w:id="0">
    <w:p w:rsidR="00DA079E" w:rsidRDefault="00DA079E" w:rsidP="0095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1" w:rsidRDefault="009540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547"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1" w:rsidRDefault="009540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548"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1" w:rsidRDefault="009540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546"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A1"/>
    <w:rsid w:val="00654D94"/>
    <w:rsid w:val="009540A1"/>
    <w:rsid w:val="00DA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0A1"/>
    <w:rPr>
      <w:rFonts w:ascii="Tahoma" w:hAnsi="Tahoma" w:cs="Tahoma"/>
      <w:sz w:val="16"/>
      <w:szCs w:val="16"/>
    </w:rPr>
  </w:style>
  <w:style w:type="character" w:customStyle="1" w:styleId="BalloonTextChar">
    <w:name w:val="Balloon Text Char"/>
    <w:basedOn w:val="DefaultParagraphFont"/>
    <w:link w:val="BalloonText"/>
    <w:uiPriority w:val="99"/>
    <w:semiHidden/>
    <w:rsid w:val="009540A1"/>
    <w:rPr>
      <w:rFonts w:ascii="Tahoma" w:eastAsia="Times New Roman" w:hAnsi="Tahoma" w:cs="Tahoma"/>
      <w:sz w:val="16"/>
      <w:szCs w:val="16"/>
    </w:rPr>
  </w:style>
  <w:style w:type="paragraph" w:styleId="Header">
    <w:name w:val="header"/>
    <w:basedOn w:val="Normal"/>
    <w:link w:val="HeaderChar"/>
    <w:uiPriority w:val="99"/>
    <w:unhideWhenUsed/>
    <w:rsid w:val="009540A1"/>
    <w:pPr>
      <w:tabs>
        <w:tab w:val="center" w:pos="4680"/>
        <w:tab w:val="right" w:pos="9360"/>
      </w:tabs>
    </w:pPr>
  </w:style>
  <w:style w:type="character" w:customStyle="1" w:styleId="HeaderChar">
    <w:name w:val="Header Char"/>
    <w:basedOn w:val="DefaultParagraphFont"/>
    <w:link w:val="Header"/>
    <w:uiPriority w:val="99"/>
    <w:rsid w:val="009540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0A1"/>
    <w:pPr>
      <w:tabs>
        <w:tab w:val="center" w:pos="4680"/>
        <w:tab w:val="right" w:pos="9360"/>
      </w:tabs>
    </w:pPr>
  </w:style>
  <w:style w:type="character" w:customStyle="1" w:styleId="FooterChar">
    <w:name w:val="Footer Char"/>
    <w:basedOn w:val="DefaultParagraphFont"/>
    <w:link w:val="Footer"/>
    <w:uiPriority w:val="99"/>
    <w:rsid w:val="009540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0A1"/>
    <w:rPr>
      <w:rFonts w:ascii="Tahoma" w:hAnsi="Tahoma" w:cs="Tahoma"/>
      <w:sz w:val="16"/>
      <w:szCs w:val="16"/>
    </w:rPr>
  </w:style>
  <w:style w:type="character" w:customStyle="1" w:styleId="BalloonTextChar">
    <w:name w:val="Balloon Text Char"/>
    <w:basedOn w:val="DefaultParagraphFont"/>
    <w:link w:val="BalloonText"/>
    <w:uiPriority w:val="99"/>
    <w:semiHidden/>
    <w:rsid w:val="009540A1"/>
    <w:rPr>
      <w:rFonts w:ascii="Tahoma" w:eastAsia="Times New Roman" w:hAnsi="Tahoma" w:cs="Tahoma"/>
      <w:sz w:val="16"/>
      <w:szCs w:val="16"/>
    </w:rPr>
  </w:style>
  <w:style w:type="paragraph" w:styleId="Header">
    <w:name w:val="header"/>
    <w:basedOn w:val="Normal"/>
    <w:link w:val="HeaderChar"/>
    <w:uiPriority w:val="99"/>
    <w:unhideWhenUsed/>
    <w:rsid w:val="009540A1"/>
    <w:pPr>
      <w:tabs>
        <w:tab w:val="center" w:pos="4680"/>
        <w:tab w:val="right" w:pos="9360"/>
      </w:tabs>
    </w:pPr>
  </w:style>
  <w:style w:type="character" w:customStyle="1" w:styleId="HeaderChar">
    <w:name w:val="Header Char"/>
    <w:basedOn w:val="DefaultParagraphFont"/>
    <w:link w:val="Header"/>
    <w:uiPriority w:val="99"/>
    <w:rsid w:val="009540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0A1"/>
    <w:pPr>
      <w:tabs>
        <w:tab w:val="center" w:pos="4680"/>
        <w:tab w:val="right" w:pos="9360"/>
      </w:tabs>
    </w:pPr>
  </w:style>
  <w:style w:type="character" w:customStyle="1" w:styleId="FooterChar">
    <w:name w:val="Footer Char"/>
    <w:basedOn w:val="DefaultParagraphFont"/>
    <w:link w:val="Footer"/>
    <w:uiPriority w:val="99"/>
    <w:rsid w:val="009540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ecredit.com/orderOrigination?op=LoanPrep:Body&amp;product=MergeWithScore&amp;addProfiler=true&amp;addBPA=true&amp;showSpecials=tru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ruecredit.com/orderOrigination?op=LoanPrep:Body&amp;product=MergeWithScore&amp;addProfiler=true&amp;addBPA=true&amp;showSpecials=true" TargetMode="External"/><Relationship Id="rId4" Type="http://schemas.openxmlformats.org/officeDocument/2006/relationships/webSettings" Target="webSettings.xml"/><Relationship Id="rId9" Type="http://schemas.openxmlformats.org/officeDocument/2006/relationships/hyperlink" Target="https://www.truecredit.com/orderOrigination?op=LoanPrep:Body&amp;product=MergeWithScore&amp;addProfiler=true&amp;addBPA=true&amp;showSpecials=tru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LINTHICUM</dc:creator>
  <cp:keywords/>
  <dc:description/>
  <cp:lastModifiedBy>ROSS LINTHICUM</cp:lastModifiedBy>
  <cp:revision>1</cp:revision>
  <dcterms:created xsi:type="dcterms:W3CDTF">2013-04-19T18:27:00Z</dcterms:created>
  <dcterms:modified xsi:type="dcterms:W3CDTF">2013-04-19T18:28:00Z</dcterms:modified>
</cp:coreProperties>
</file>