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tblCellSpacing w:w="0" w:type="dxa"/>
        <w:tblCellMar>
          <w:left w:w="0" w:type="dxa"/>
          <w:right w:w="0" w:type="dxa"/>
        </w:tblCellMar>
        <w:tblLook w:val="0000" w:firstRow="0" w:lastRow="0" w:firstColumn="0" w:lastColumn="0" w:noHBand="0" w:noVBand="0"/>
      </w:tblPr>
      <w:tblGrid>
        <w:gridCol w:w="8400"/>
      </w:tblGrid>
      <w:tr w:rsidR="00902456" w:rsidRPr="00D774B9" w:rsidTr="00DA404F">
        <w:trPr>
          <w:tblCellSpacing w:w="0" w:type="dxa"/>
        </w:trPr>
        <w:tc>
          <w:tcPr>
            <w:tcW w:w="0" w:type="auto"/>
            <w:vAlign w:val="center"/>
          </w:tcPr>
          <w:p w:rsidR="00902456" w:rsidRPr="00D774B9" w:rsidRDefault="00902456" w:rsidP="00DA404F">
            <w:pPr>
              <w:rPr>
                <w:rFonts w:ascii="Arial" w:hAnsi="Arial" w:cs="Arial"/>
                <w:b/>
                <w:color w:val="818286"/>
                <w:sz w:val="32"/>
                <w:szCs w:val="32"/>
                <w:u w:val="single"/>
              </w:rPr>
            </w:pPr>
            <w:r w:rsidRPr="00D774B9">
              <w:rPr>
                <w:rFonts w:ascii="Arial" w:hAnsi="Arial" w:cs="Arial"/>
                <w:b/>
                <w:color w:val="818286"/>
                <w:sz w:val="32"/>
                <w:szCs w:val="32"/>
                <w:u w:val="single"/>
              </w:rPr>
              <w:t>Recovering from bankruptcy</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628650" cy="142875"/>
                  <wp:effectExtent l="0" t="0" r="0" b="0"/>
                  <wp:docPr id="23" name="Picture 2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42875"/>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333333"/>
              </w:rPr>
            </w:pPr>
            <w:bookmarkStart w:id="0" w:name="/orderOrigination?op=Improve:Body&amp;produc" w:colFirst="0" w:colLast="-1"/>
            <w:r w:rsidRPr="00D774B9">
              <w:rPr>
                <w:rFonts w:ascii="Arial" w:hAnsi="Arial" w:cs="Arial"/>
                <w:color w:val="333333"/>
              </w:rPr>
              <w:t xml:space="preserve">Every year more than 1.5 million Americans file for bankruptcy for a variety of reasons. While bankruptcy has many negative effects, it does offer people with devastated finances a fresh start. While most bankruptcies remain on your </w:t>
            </w:r>
            <w:hyperlink r:id="rId6" w:history="1">
              <w:r w:rsidRPr="00D774B9">
                <w:rPr>
                  <w:rFonts w:ascii="Arial" w:hAnsi="Arial" w:cs="Arial"/>
                  <w:color w:val="006699"/>
                  <w:u w:val="single"/>
                </w:rPr>
                <w:t>credit report</w:t>
              </w:r>
            </w:hyperlink>
            <w:r w:rsidRPr="00D774B9">
              <w:rPr>
                <w:rFonts w:ascii="Arial" w:hAnsi="Arial" w:cs="Arial"/>
                <w:color w:val="333333"/>
              </w:rPr>
              <w:t xml:space="preserve"> for 7-10 years, there are several things you can do to start re-establishing your credit after filing.</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628650" cy="95250"/>
                  <wp:effectExtent l="0" t="0" r="0" b="0"/>
                  <wp:docPr id="22" name="Picture 2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tbl>
            <w:tblPr>
              <w:tblW w:w="8400" w:type="dxa"/>
              <w:tblCellSpacing w:w="0" w:type="dxa"/>
              <w:tblCellMar>
                <w:left w:w="0" w:type="dxa"/>
                <w:right w:w="0" w:type="dxa"/>
              </w:tblCellMar>
              <w:tblLook w:val="0000" w:firstRow="0" w:lastRow="0" w:firstColumn="0" w:lastColumn="0" w:noHBand="0" w:noVBand="0"/>
            </w:tblPr>
            <w:tblGrid>
              <w:gridCol w:w="900"/>
              <w:gridCol w:w="300"/>
              <w:gridCol w:w="7200"/>
            </w:tblGrid>
            <w:tr w:rsidR="00902456" w:rsidRPr="00D774B9" w:rsidTr="00DA404F">
              <w:trPr>
                <w:tblCellSpacing w:w="0" w:type="dxa"/>
              </w:trPr>
              <w:tc>
                <w:tcPr>
                  <w:tcW w:w="900" w:type="dxa"/>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21" name="Picture 2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300" w:type="dxa"/>
                </w:tcPr>
                <w:p w:rsidR="00902456" w:rsidRPr="00D774B9" w:rsidRDefault="00902456" w:rsidP="00DA404F">
                  <w:pPr>
                    <w:rPr>
                      <w:rFonts w:ascii="Arial" w:hAnsi="Arial" w:cs="Arial"/>
                      <w:color w:val="000000"/>
                    </w:rPr>
                  </w:pPr>
                  <w:r w:rsidRPr="00D774B9">
                    <w:rPr>
                      <w:rFonts w:ascii="Arial" w:hAnsi="Arial" w:cs="Arial"/>
                      <w:color w:val="000000"/>
                    </w:rPr>
                    <w:t>•</w:t>
                  </w:r>
                </w:p>
              </w:tc>
              <w:tc>
                <w:tcPr>
                  <w:tcW w:w="7950" w:type="dxa"/>
                  <w:vAlign w:val="center"/>
                </w:tcPr>
                <w:p w:rsidR="00902456" w:rsidRPr="00D774B9" w:rsidRDefault="00902456" w:rsidP="00DA404F">
                  <w:pPr>
                    <w:rPr>
                      <w:rFonts w:ascii="Arial" w:hAnsi="Arial" w:cs="Arial"/>
                      <w:color w:val="333333"/>
                    </w:rPr>
                  </w:pPr>
                  <w:r w:rsidRPr="00D774B9">
                    <w:rPr>
                      <w:rFonts w:ascii="Arial" w:hAnsi="Arial" w:cs="Arial"/>
                      <w:color w:val="333333"/>
                    </w:rPr>
                    <w:t xml:space="preserve">Before you start to rebuild your credit you should clear your </w:t>
                  </w:r>
                  <w:hyperlink r:id="rId7" w:history="1">
                    <w:r w:rsidRPr="00D774B9">
                      <w:rPr>
                        <w:rFonts w:ascii="Arial" w:hAnsi="Arial" w:cs="Arial"/>
                        <w:color w:val="006699"/>
                        <w:u w:val="single"/>
                      </w:rPr>
                      <w:t>credit report</w:t>
                    </w:r>
                  </w:hyperlink>
                  <w:r w:rsidRPr="00D774B9">
                    <w:rPr>
                      <w:rFonts w:ascii="Arial" w:hAnsi="Arial" w:cs="Arial"/>
                      <w:color w:val="333333"/>
                    </w:rPr>
                    <w:t xml:space="preserve"> of errors. Check that your credit reports from </w:t>
                  </w:r>
                  <w:proofErr w:type="spellStart"/>
                  <w:r w:rsidRPr="00D774B9">
                    <w:rPr>
                      <w:rFonts w:ascii="Arial" w:hAnsi="Arial" w:cs="Arial"/>
                      <w:color w:val="333333"/>
                    </w:rPr>
                    <w:t>TransUnion</w:t>
                  </w:r>
                  <w:proofErr w:type="spellEnd"/>
                  <w:r w:rsidRPr="00D774B9">
                    <w:rPr>
                      <w:rFonts w:ascii="Arial" w:hAnsi="Arial" w:cs="Arial"/>
                      <w:color w:val="333333"/>
                    </w:rPr>
                    <w:t>, Equifax and Experian have accurately recorded your pre-bankruptcy debts as “Included in BK.” Under the Fair Credit Reporting Act, you have the right to dispute inaccuracies.</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20" name="Picture 2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190500" cy="95250"/>
                        <wp:effectExtent l="0" t="0" r="0" b="0"/>
                        <wp:docPr id="19" name="Picture 1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8" name="Picture 1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7" name="Picture 1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02456" w:rsidRPr="00D774B9" w:rsidRDefault="00902456" w:rsidP="00DA404F">
                  <w:pPr>
                    <w:rPr>
                      <w:rFonts w:ascii="Arial" w:hAnsi="Arial" w:cs="Arial"/>
                      <w:color w:val="000000"/>
                    </w:rPr>
                  </w:pPr>
                  <w:r w:rsidRPr="00D774B9">
                    <w:rPr>
                      <w:rFonts w:ascii="Arial" w:hAnsi="Arial" w:cs="Arial"/>
                      <w:color w:val="000000"/>
                    </w:rPr>
                    <w:t>•</w:t>
                  </w:r>
                </w:p>
              </w:tc>
              <w:tc>
                <w:tcPr>
                  <w:tcW w:w="0" w:type="auto"/>
                  <w:vAlign w:val="center"/>
                </w:tcPr>
                <w:p w:rsidR="00902456" w:rsidRPr="00D774B9" w:rsidRDefault="00902456" w:rsidP="00DA404F">
                  <w:pPr>
                    <w:rPr>
                      <w:rFonts w:ascii="Arial" w:hAnsi="Arial" w:cs="Arial"/>
                      <w:color w:val="333333"/>
                    </w:rPr>
                  </w:pPr>
                  <w:r w:rsidRPr="00D774B9">
                    <w:rPr>
                      <w:rFonts w:ascii="Arial" w:hAnsi="Arial" w:cs="Arial"/>
                      <w:color w:val="333333"/>
                    </w:rPr>
                    <w:t xml:space="preserve">After clearing out any errors in your </w:t>
                  </w:r>
                  <w:hyperlink r:id="rId8" w:history="1">
                    <w:r w:rsidRPr="00D774B9">
                      <w:rPr>
                        <w:rFonts w:ascii="Arial" w:hAnsi="Arial" w:cs="Arial"/>
                        <w:color w:val="006699"/>
                        <w:u w:val="single"/>
                      </w:rPr>
                      <w:t>credit reports</w:t>
                    </w:r>
                  </w:hyperlink>
                  <w:r w:rsidRPr="00D774B9">
                    <w:rPr>
                      <w:rFonts w:ascii="Arial" w:hAnsi="Arial" w:cs="Arial"/>
                      <w:color w:val="333333"/>
                    </w:rPr>
                    <w:t xml:space="preserve"> it is best to slowly rebuild your credit history. Keep your employment stable, be cautious with spending and pay all your bills on time. </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6" name="Picture 1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190500" cy="95250"/>
                        <wp:effectExtent l="0" t="0" r="0" b="0"/>
                        <wp:docPr id="15" name="Picture 1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4" name="Picture 1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3" name="Picture 1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02456" w:rsidRPr="00D774B9" w:rsidRDefault="00902456" w:rsidP="00DA404F">
                  <w:pPr>
                    <w:rPr>
                      <w:rFonts w:ascii="Arial" w:hAnsi="Arial" w:cs="Arial"/>
                      <w:color w:val="000000"/>
                    </w:rPr>
                  </w:pPr>
                  <w:r w:rsidRPr="00D774B9">
                    <w:rPr>
                      <w:rFonts w:ascii="Arial" w:hAnsi="Arial" w:cs="Arial"/>
                      <w:color w:val="000000"/>
                    </w:rPr>
                    <w:t>•</w:t>
                  </w:r>
                </w:p>
              </w:tc>
              <w:tc>
                <w:tcPr>
                  <w:tcW w:w="0" w:type="auto"/>
                  <w:vAlign w:val="center"/>
                </w:tcPr>
                <w:p w:rsidR="00902456" w:rsidRPr="00D774B9" w:rsidRDefault="00902456" w:rsidP="00DA404F">
                  <w:pPr>
                    <w:rPr>
                      <w:rFonts w:ascii="Arial" w:hAnsi="Arial" w:cs="Arial"/>
                      <w:color w:val="333333"/>
                    </w:rPr>
                  </w:pPr>
                  <w:r w:rsidRPr="00D774B9">
                    <w:rPr>
                      <w:rFonts w:ascii="Arial" w:hAnsi="Arial" w:cs="Arial"/>
                      <w:color w:val="333333"/>
                    </w:rPr>
                    <w:t>You may want to apply for a secured credit card that can be used in moderation and paid off each month. Secured credit cards use your savings account as collateral for the credit limit and are easier to be approved for than a standard credit card.</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2" name="Picture 1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190500" cy="95250"/>
                        <wp:effectExtent l="0" t="0" r="0" b="0"/>
                        <wp:docPr id="11" name="Picture 1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0" name="Picture 1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9" name="Picture 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02456" w:rsidRPr="00D774B9" w:rsidRDefault="00902456" w:rsidP="00DA404F">
                  <w:pPr>
                    <w:rPr>
                      <w:rFonts w:ascii="Arial" w:hAnsi="Arial" w:cs="Arial"/>
                      <w:color w:val="000000"/>
                    </w:rPr>
                  </w:pPr>
                  <w:r w:rsidRPr="00D774B9">
                    <w:rPr>
                      <w:rFonts w:ascii="Arial" w:hAnsi="Arial" w:cs="Arial"/>
                      <w:color w:val="000000"/>
                    </w:rPr>
                    <w:t>•</w:t>
                  </w:r>
                </w:p>
              </w:tc>
              <w:tc>
                <w:tcPr>
                  <w:tcW w:w="0" w:type="auto"/>
                  <w:vAlign w:val="center"/>
                </w:tcPr>
                <w:p w:rsidR="00902456" w:rsidRPr="00D774B9" w:rsidRDefault="00902456" w:rsidP="00DA404F">
                  <w:pPr>
                    <w:rPr>
                      <w:rFonts w:ascii="Arial" w:hAnsi="Arial" w:cs="Arial"/>
                      <w:color w:val="333333"/>
                    </w:rPr>
                  </w:pPr>
                  <w:r w:rsidRPr="00D774B9">
                    <w:rPr>
                      <w:rFonts w:ascii="Arial" w:hAnsi="Arial" w:cs="Arial"/>
                      <w:color w:val="333333"/>
                    </w:rPr>
                    <w:t>As early as 1-2 years after bankruptcy you may be able to receive a home loan. The Federal Housing Administration (FHA) and Department of Veteran Affairs (VA) have specific guidelines for accepting borrowers who have filed for bankruptcy. For example, the FHA will insure mortgages to individuals who have filed Chapter 7 liquidation bankruptcy two years after the discharge if "the borrower has reestablished good credit (or has chosen not to incur new credit obligations), and has demonstrated an ability to manage financial affairs."</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8" name="Picture 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190500" cy="95250"/>
                        <wp:effectExtent l="0" t="0" r="0" b="0"/>
                        <wp:docPr id="7" name="Picture 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6" name="Picture 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02456" w:rsidRPr="00D774B9" w:rsidRDefault="00902456" w:rsidP="00DA404F">
                  <w:pPr>
                    <w:rPr>
                      <w:rFonts w:ascii="Arial" w:hAnsi="Arial" w:cs="Arial"/>
                      <w:color w:val="000000"/>
                    </w:rPr>
                  </w:pPr>
                  <w:r w:rsidRPr="00D774B9">
                    <w:rPr>
                      <w:rFonts w:ascii="Arial" w:hAnsi="Arial" w:cs="Arial"/>
                      <w:color w:val="000000"/>
                    </w:rPr>
                    <w:t>•</w:t>
                  </w:r>
                </w:p>
              </w:tc>
              <w:tc>
                <w:tcPr>
                  <w:tcW w:w="0" w:type="auto"/>
                  <w:vAlign w:val="center"/>
                </w:tcPr>
                <w:p w:rsidR="00902456" w:rsidRPr="00D774B9" w:rsidRDefault="00902456" w:rsidP="00DA404F">
                  <w:pPr>
                    <w:rPr>
                      <w:rFonts w:ascii="Arial" w:hAnsi="Arial" w:cs="Arial"/>
                      <w:color w:val="333333"/>
                    </w:rPr>
                  </w:pPr>
                  <w:r w:rsidRPr="00D774B9">
                    <w:rPr>
                      <w:rFonts w:ascii="Arial" w:hAnsi="Arial" w:cs="Arial"/>
                      <w:color w:val="333333"/>
                    </w:rPr>
                    <w:t xml:space="preserve">You may want to make contact with a U.S. Department of Housing and Urban Development (HUD) approved housing counselor or local support program for advice and assistance with purchasing a home. Unfair lenders can sometimes target people recovering from bankruptcy so be sure to research your loan options, know your rights and read the small print. </w:t>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4" name="Picture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190500" cy="95250"/>
                        <wp:effectExtent l="0" t="0" r="0" b="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02456" w:rsidRPr="00D774B9" w:rsidTr="00DA404F">
              <w:trPr>
                <w:tblCellSpacing w:w="0" w:type="dxa"/>
              </w:trPr>
              <w:tc>
                <w:tcPr>
                  <w:tcW w:w="0" w:type="auto"/>
                  <w:vAlign w:val="center"/>
                </w:tcPr>
                <w:p w:rsidR="00902456" w:rsidRPr="00D774B9" w:rsidRDefault="00902456" w:rsidP="00DA404F">
                  <w:pPr>
                    <w:rPr>
                      <w:rFonts w:ascii="Arial" w:hAnsi="Arial" w:cs="Arial"/>
                      <w:color w:val="000000"/>
                    </w:rPr>
                  </w:pPr>
                  <w:r>
                    <w:rPr>
                      <w:rFonts w:ascii="Arial" w:hAnsi="Arial" w:cs="Arial"/>
                      <w:noProof/>
                      <w:color w:val="000000"/>
                    </w:rPr>
                    <w:drawing>
                      <wp:inline distT="0" distB="0" distL="0" distR="0">
                        <wp:extent cx="571500" cy="952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02456" w:rsidRPr="00D774B9" w:rsidRDefault="00902456" w:rsidP="00DA404F">
                  <w:pPr>
                    <w:rPr>
                      <w:rFonts w:ascii="Arial" w:hAnsi="Arial" w:cs="Arial"/>
                      <w:color w:val="000000"/>
                    </w:rPr>
                  </w:pPr>
                  <w:r w:rsidRPr="00D774B9">
                    <w:rPr>
                      <w:rFonts w:ascii="Arial" w:hAnsi="Arial" w:cs="Arial"/>
                      <w:color w:val="000000"/>
                    </w:rPr>
                    <w:t>•</w:t>
                  </w:r>
                </w:p>
              </w:tc>
              <w:tc>
                <w:tcPr>
                  <w:tcW w:w="0" w:type="auto"/>
                  <w:vAlign w:val="center"/>
                </w:tcPr>
                <w:p w:rsidR="00902456" w:rsidRPr="00D774B9" w:rsidRDefault="00902456" w:rsidP="00DA404F">
                  <w:pPr>
                    <w:rPr>
                      <w:rFonts w:ascii="Arial" w:hAnsi="Arial" w:cs="Arial"/>
                      <w:color w:val="333333"/>
                    </w:rPr>
                  </w:pPr>
                  <w:r w:rsidRPr="00D774B9">
                    <w:rPr>
                      <w:rFonts w:ascii="Arial" w:hAnsi="Arial" w:cs="Arial"/>
                      <w:color w:val="333333"/>
                    </w:rPr>
                    <w:t xml:space="preserve">After 7 years, the accounts that were marked as “included in BK” should be removed from your </w:t>
                  </w:r>
                  <w:hyperlink r:id="rId9" w:history="1">
                    <w:r w:rsidRPr="00D774B9">
                      <w:rPr>
                        <w:rFonts w:ascii="Arial" w:hAnsi="Arial" w:cs="Arial"/>
                        <w:color w:val="006699"/>
                        <w:u w:val="single"/>
                      </w:rPr>
                      <w:t>credit report</w:t>
                    </w:r>
                  </w:hyperlink>
                  <w:r w:rsidRPr="00D774B9">
                    <w:rPr>
                      <w:rFonts w:ascii="Arial" w:hAnsi="Arial" w:cs="Arial"/>
                      <w:color w:val="333333"/>
                    </w:rPr>
                    <w:t>. The bankruptcy record itself will be removed after 7-10 years depending on the chapter that you filed. If your records are not removed by the credit reporting agencies automatically, you can send a letter of dispute to have the records taken off your report.</w:t>
                  </w:r>
                  <w:bookmarkStart w:id="1" w:name="_GoBack"/>
                  <w:bookmarkEnd w:id="1"/>
                </w:p>
              </w:tc>
            </w:tr>
            <w:bookmarkEnd w:id="0"/>
          </w:tbl>
          <w:p w:rsidR="00902456" w:rsidRPr="00D774B9" w:rsidRDefault="00902456" w:rsidP="00DA404F">
            <w:pPr>
              <w:rPr>
                <w:rFonts w:ascii="Arial" w:hAnsi="Arial" w:cs="Arial"/>
                <w:color w:val="333333"/>
              </w:rPr>
            </w:pPr>
          </w:p>
        </w:tc>
      </w:tr>
    </w:tbl>
    <w:p w:rsidR="00902456" w:rsidRPr="00D774B9" w:rsidRDefault="00902456" w:rsidP="00902456"/>
    <w:p w:rsidR="00654D94" w:rsidRDefault="00654D94"/>
    <w:sectPr w:rsidR="00654D94" w:rsidSect="00D774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172" o:spid="_x0000_s2050"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173"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9" w:rsidRDefault="009024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9171" o:spid="_x0000_s2049"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56"/>
    <w:rsid w:val="00654D94"/>
    <w:rsid w:val="0090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456"/>
    <w:pPr>
      <w:tabs>
        <w:tab w:val="center" w:pos="4680"/>
        <w:tab w:val="right" w:pos="9360"/>
      </w:tabs>
    </w:pPr>
  </w:style>
  <w:style w:type="character" w:customStyle="1" w:styleId="HeaderChar">
    <w:name w:val="Header Char"/>
    <w:basedOn w:val="DefaultParagraphFont"/>
    <w:link w:val="Header"/>
    <w:rsid w:val="00902456"/>
    <w:rPr>
      <w:rFonts w:ascii="Times New Roman" w:eastAsia="Times New Roman" w:hAnsi="Times New Roman" w:cs="Times New Roman"/>
      <w:sz w:val="24"/>
      <w:szCs w:val="24"/>
    </w:rPr>
  </w:style>
  <w:style w:type="paragraph" w:styleId="Footer">
    <w:name w:val="footer"/>
    <w:basedOn w:val="Normal"/>
    <w:link w:val="FooterChar"/>
    <w:rsid w:val="00902456"/>
    <w:pPr>
      <w:tabs>
        <w:tab w:val="center" w:pos="4680"/>
        <w:tab w:val="right" w:pos="9360"/>
      </w:tabs>
    </w:pPr>
  </w:style>
  <w:style w:type="character" w:customStyle="1" w:styleId="FooterChar">
    <w:name w:val="Footer Char"/>
    <w:basedOn w:val="DefaultParagraphFont"/>
    <w:link w:val="Footer"/>
    <w:rsid w:val="009024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2456"/>
    <w:rPr>
      <w:rFonts w:ascii="Tahoma" w:hAnsi="Tahoma" w:cs="Tahoma"/>
      <w:sz w:val="16"/>
      <w:szCs w:val="16"/>
    </w:rPr>
  </w:style>
  <w:style w:type="character" w:customStyle="1" w:styleId="BalloonTextChar">
    <w:name w:val="Balloon Text Char"/>
    <w:basedOn w:val="DefaultParagraphFont"/>
    <w:link w:val="BalloonText"/>
    <w:uiPriority w:val="99"/>
    <w:semiHidden/>
    <w:rsid w:val="00902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456"/>
    <w:pPr>
      <w:tabs>
        <w:tab w:val="center" w:pos="4680"/>
        <w:tab w:val="right" w:pos="9360"/>
      </w:tabs>
    </w:pPr>
  </w:style>
  <w:style w:type="character" w:customStyle="1" w:styleId="HeaderChar">
    <w:name w:val="Header Char"/>
    <w:basedOn w:val="DefaultParagraphFont"/>
    <w:link w:val="Header"/>
    <w:rsid w:val="00902456"/>
    <w:rPr>
      <w:rFonts w:ascii="Times New Roman" w:eastAsia="Times New Roman" w:hAnsi="Times New Roman" w:cs="Times New Roman"/>
      <w:sz w:val="24"/>
      <w:szCs w:val="24"/>
    </w:rPr>
  </w:style>
  <w:style w:type="paragraph" w:styleId="Footer">
    <w:name w:val="footer"/>
    <w:basedOn w:val="Normal"/>
    <w:link w:val="FooterChar"/>
    <w:rsid w:val="00902456"/>
    <w:pPr>
      <w:tabs>
        <w:tab w:val="center" w:pos="4680"/>
        <w:tab w:val="right" w:pos="9360"/>
      </w:tabs>
    </w:pPr>
  </w:style>
  <w:style w:type="character" w:customStyle="1" w:styleId="FooterChar">
    <w:name w:val="Footer Char"/>
    <w:basedOn w:val="DefaultParagraphFont"/>
    <w:link w:val="Footer"/>
    <w:rsid w:val="009024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2456"/>
    <w:rPr>
      <w:rFonts w:ascii="Tahoma" w:hAnsi="Tahoma" w:cs="Tahoma"/>
      <w:sz w:val="16"/>
      <w:szCs w:val="16"/>
    </w:rPr>
  </w:style>
  <w:style w:type="character" w:customStyle="1" w:styleId="BalloonTextChar">
    <w:name w:val="Balloon Text Char"/>
    <w:basedOn w:val="DefaultParagraphFont"/>
    <w:link w:val="BalloonText"/>
    <w:uiPriority w:val="99"/>
    <w:semiHidden/>
    <w:rsid w:val="00902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credit.com/orderOrigination?op=Improve:Body&amp;product=MergeWithScore&amp;addProfiler=true&amp;addBPA=true&amp;showSpecials=tr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uecredit.com/orderOrigination?op=Improve:Body&amp;product=MergeWithScore&amp;addProfiler=true&amp;addBPA=true&amp;showSpecials=tru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uecredit.com/orderOrigination?op=Improve:Body&amp;product=MergeWithScore&amp;addProfiler=true&amp;addBPA=true&amp;showSpecials=true" TargetMode="External"/><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uecredit.com/orderOrigination?op=Improve:Body&amp;product=MergeWithScore&amp;addProfiler=true&amp;addBPA=true&amp;showSpecials=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LINTHICUM</dc:creator>
  <cp:keywords/>
  <dc:description/>
  <cp:lastModifiedBy>ROSS LINTHICUM</cp:lastModifiedBy>
  <cp:revision>1</cp:revision>
  <dcterms:created xsi:type="dcterms:W3CDTF">2013-04-19T18:21:00Z</dcterms:created>
  <dcterms:modified xsi:type="dcterms:W3CDTF">2013-04-19T18:22:00Z</dcterms:modified>
</cp:coreProperties>
</file>