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0" w:type="dxa"/>
        <w:tblLayout w:type="fixed"/>
        <w:tblLook w:val="04A0" w:firstRow="1" w:lastRow="0" w:firstColumn="1" w:lastColumn="0" w:noHBand="0" w:noVBand="1"/>
      </w:tblPr>
      <w:tblGrid>
        <w:gridCol w:w="1882"/>
        <w:gridCol w:w="1882"/>
        <w:gridCol w:w="1882"/>
        <w:gridCol w:w="1883"/>
        <w:gridCol w:w="1882"/>
        <w:gridCol w:w="1882"/>
        <w:gridCol w:w="1883"/>
      </w:tblGrid>
      <w:tr w:rsidR="005A5580" w:rsidTr="005A5580">
        <w:trPr>
          <w:tblHeader/>
        </w:trPr>
        <w:tc>
          <w:tcPr>
            <w:tcW w:w="13176" w:type="dxa"/>
            <w:gridSpan w:val="7"/>
            <w:tcBorders>
              <w:top w:val="single" w:sz="4" w:space="0" w:color="auto"/>
              <w:left w:val="single" w:sz="4" w:space="0" w:color="auto"/>
              <w:bottom w:val="single" w:sz="4" w:space="0" w:color="auto"/>
              <w:right w:val="single" w:sz="4" w:space="0" w:color="auto"/>
            </w:tcBorders>
            <w:shd w:val="clear" w:color="auto" w:fill="FDE9D9" w:themeFill="accent6" w:themeFillTint="33"/>
          </w:tcPr>
          <w:p w:rsidR="005A5580" w:rsidRPr="005A5580" w:rsidRDefault="005A5580" w:rsidP="005A5580">
            <w:pPr>
              <w:jc w:val="center"/>
              <w:rPr>
                <w:rFonts w:ascii="Calibri" w:eastAsia="Calibri" w:hAnsi="Calibri" w:cs="Times New Roman"/>
                <w:bCs/>
                <w:color w:val="FFFFFF" w:themeColor="background1"/>
              </w:rPr>
            </w:pPr>
            <w:r w:rsidRPr="005A5580">
              <w:rPr>
                <w:rFonts w:ascii="Calibri" w:eastAsia="Calibri" w:hAnsi="Calibri" w:cs="Times New Roman"/>
                <w:b/>
                <w:bCs/>
                <w:color w:val="000000" w:themeColor="text1"/>
              </w:rPr>
              <w:t>Taken from th</w:t>
            </w:r>
            <w:r>
              <w:rPr>
                <w:rFonts w:ascii="Calibri" w:eastAsia="Calibri" w:hAnsi="Calibri" w:cs="Times New Roman"/>
                <w:b/>
                <w:bCs/>
                <w:color w:val="000000" w:themeColor="text1"/>
              </w:rPr>
              <w:t>e NCD Roadmap- see full report h</w:t>
            </w:r>
            <w:r w:rsidRPr="005A5580">
              <w:rPr>
                <w:rFonts w:ascii="Calibri" w:eastAsia="Calibri" w:hAnsi="Calibri" w:cs="Times New Roman"/>
                <w:b/>
                <w:bCs/>
                <w:color w:val="000000" w:themeColor="text1"/>
              </w:rPr>
              <w:t xml:space="preserve">ere: </w:t>
            </w:r>
            <w:r w:rsidRPr="005A5580">
              <w:rPr>
                <w:rFonts w:ascii="Calibri" w:eastAsia="Calibri" w:hAnsi="Calibri" w:cs="Times New Roman"/>
                <w:b/>
                <w:bCs/>
                <w:color w:val="000000" w:themeColor="text1"/>
              </w:rPr>
              <w:br/>
              <w:t>http://documents.worldbank.org/curated/en/2014/07/19778739/non-communicable-disease-ncd-roadmap-report</w:t>
            </w:r>
          </w:p>
        </w:tc>
      </w:tr>
      <w:tr w:rsidR="006E77FE" w:rsidTr="006E77FE">
        <w:trPr>
          <w:tblHeader/>
        </w:trPr>
        <w:tc>
          <w:tcPr>
            <w:tcW w:w="18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Ministry or stakeholder responsible.</w:t>
            </w:r>
          </w:p>
        </w:tc>
        <w:tc>
          <w:tcPr>
            <w:tcW w:w="18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Proposed action</w:t>
            </w:r>
          </w:p>
        </w:tc>
        <w:tc>
          <w:tcPr>
            <w:tcW w:w="18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Expected benefit in reducing NCD</w:t>
            </w:r>
          </w:p>
        </w:tc>
        <w:tc>
          <w:tcPr>
            <w:tcW w:w="18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Specific indicator to verify progress</w:t>
            </w:r>
          </w:p>
        </w:tc>
        <w:tc>
          <w:tcPr>
            <w:tcW w:w="18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Likely cost / revenue implications</w:t>
            </w:r>
          </w:p>
        </w:tc>
        <w:tc>
          <w:tcPr>
            <w:tcW w:w="18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Feasibility and obstacles to implementation</w:t>
            </w:r>
          </w:p>
        </w:tc>
        <w:tc>
          <w:tcPr>
            <w:tcW w:w="1883"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6E77FE" w:rsidRDefault="006E77FE">
            <w:pPr>
              <w:rPr>
                <w:rFonts w:ascii="Calibri" w:eastAsia="Calibri" w:hAnsi="Calibri" w:cs="Times New Roman"/>
                <w:bCs/>
                <w:color w:val="FFFFFF" w:themeColor="background1"/>
              </w:rPr>
            </w:pPr>
            <w:r>
              <w:rPr>
                <w:rFonts w:ascii="Calibri" w:eastAsia="Calibri" w:hAnsi="Calibri" w:cs="Times New Roman"/>
                <w:b/>
                <w:bCs/>
                <w:color w:val="FFFFFF" w:themeColor="background1"/>
              </w:rPr>
              <w:t>Political implications (including winners and losers)</w:t>
            </w:r>
          </w:p>
        </w:tc>
        <w:bookmarkStart w:id="0" w:name="_GoBack"/>
        <w:bookmarkEnd w:id="0"/>
      </w:tr>
      <w:tr w:rsidR="006E77FE" w:rsidTr="006E77FE">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b/>
                <w:bCs/>
              </w:rPr>
            </w:pPr>
            <w:r>
              <w:rPr>
                <w:rFonts w:ascii="Calibri" w:eastAsia="Calibri" w:hAnsi="Calibri" w:cs="Times New Roman"/>
                <w:b/>
                <w:bCs/>
              </w:rPr>
              <w:t>Ministries of Finance and Economic Planning</w:t>
            </w:r>
          </w:p>
        </w:tc>
        <w:tc>
          <w:tcPr>
            <w:tcW w:w="1882"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t xml:space="preserve">Support establishment of overarching principles for allocating scarce health resources and achieving value for money in the Ministry of Health (and if necessary other Ministries). Would include clearer and more explicit requirements for determining value for money purchases, and minimum thresholds for undertaking cost-effectiveness analysis in larger procurement </w:t>
            </w:r>
            <w:r>
              <w:rPr>
                <w:rFonts w:ascii="Calibri" w:eastAsia="Calibri" w:hAnsi="Calibri" w:cs="Times New Roman"/>
              </w:rPr>
              <w:lastRenderedPageBreak/>
              <w:t xml:space="preserve">packages. </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Increase excise duty on tobacco to reach 70% of the retail price of domestic and imported tobacco.</w:t>
            </w:r>
          </w:p>
          <w:p w:rsidR="006E77FE" w:rsidRDefault="006E77FE" w:rsidP="006E77FE">
            <w:pPr>
              <w:rPr>
                <w:rFonts w:ascii="Calibri" w:eastAsia="Calibri" w:hAnsi="Calibri" w:cs="Times New Roman"/>
              </w:rPr>
            </w:pPr>
            <w:r>
              <w:rPr>
                <w:rFonts w:ascii="Calibri" w:eastAsia="Calibri" w:hAnsi="Calibri" w:cs="Times New Roman"/>
              </w:rPr>
              <w:t xml:space="preserve">Apply the excise duty on all tobacco products, and not just imported products, to increase revenue, reduce consumption, and be compatible with WTO rules and obligations. </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Employ additional inspectors to ensure excise duties are being paid and cigarettes not sold individually at markets or to children.</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lastRenderedPageBreak/>
              <w:t>Consider, with other Ministries such as Health, and Industry and Commerce, plain packaging of cigarettes after current disputes between Australia and tobacco companies are resolved.</w:t>
            </w:r>
          </w:p>
          <w:p w:rsidR="006E77FE" w:rsidRDefault="006E77FE" w:rsidP="006E77FE">
            <w:pPr>
              <w:rPr>
                <w:rFonts w:ascii="Calibri" w:eastAsia="Calibri" w:hAnsi="Calibri" w:cs="Times New Roman"/>
              </w:rPr>
            </w:pPr>
            <w:r>
              <w:rPr>
                <w:rFonts w:ascii="Calibri" w:eastAsia="Calibri" w:hAnsi="Calibri" w:cs="Times New Roman"/>
              </w:rPr>
              <w:t>Increase taxes on other products linked to NCD risk factors including alcohol.</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pPr>
              <w:rPr>
                <w:rFonts w:ascii="Calibri" w:eastAsia="Calibri" w:hAnsi="Calibri" w:cs="Times New Roman"/>
              </w:rPr>
            </w:pPr>
          </w:p>
        </w:tc>
        <w:tc>
          <w:tcPr>
            <w:tcW w:w="1882"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lastRenderedPageBreak/>
              <w:t>Improves strategic allocation of existing scarce resources. Helps Ministries make best use of what resources they have. Reallocates scarce resources from high cost / low impact programs to low – medium cost / high impact programs.</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 xml:space="preserve">Reduces existing </w:t>
            </w:r>
            <w:proofErr w:type="gramStart"/>
            <w:r>
              <w:rPr>
                <w:rFonts w:ascii="Calibri" w:eastAsia="Calibri" w:hAnsi="Calibri" w:cs="Times New Roman"/>
              </w:rPr>
              <w:t>consumption  new</w:t>
            </w:r>
            <w:proofErr w:type="gramEnd"/>
            <w:r>
              <w:rPr>
                <w:rFonts w:ascii="Calibri" w:eastAsia="Calibri" w:hAnsi="Calibri" w:cs="Times New Roman"/>
              </w:rPr>
              <w:t xml:space="preserve"> uptake of a major source of NCDs. </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Compliance ensures the intended health and revenue benefits are achieved.</w:t>
            </w:r>
          </w:p>
          <w:p w:rsidR="006E77FE" w:rsidRDefault="006E77FE" w:rsidP="006E77FE">
            <w:pPr>
              <w:rPr>
                <w:rFonts w:ascii="Calibri" w:eastAsia="Calibri" w:hAnsi="Calibri" w:cs="Times New Roman"/>
              </w:rPr>
            </w:pPr>
            <w:r>
              <w:rPr>
                <w:rFonts w:ascii="Calibri" w:eastAsia="Calibri" w:hAnsi="Calibri" w:cs="Times New Roman"/>
              </w:rPr>
              <w:t>Reduces the attractiveness and affordability of cigarettes to the young and the poor.</w:t>
            </w:r>
          </w:p>
          <w:p w:rsidR="006E77FE" w:rsidRDefault="006E77FE" w:rsidP="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lastRenderedPageBreak/>
              <w:t>Reduced consumption.</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r>
              <w:rPr>
                <w:rFonts w:ascii="Calibri" w:eastAsia="Calibri" w:hAnsi="Calibri" w:cs="Times New Roman"/>
              </w:rPr>
              <w:t>Reduced consumption of alcohol, especially at harmful levels. Reduction in domestic violence and traffic accidents</w:t>
            </w:r>
          </w:p>
        </w:tc>
        <w:tc>
          <w:tcPr>
            <w:tcW w:w="1883"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lastRenderedPageBreak/>
              <w:t>Existence, and implementation, of clearer guidelines for allocating scarce resources, especially within the health sector.</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Government excise duties increased progressively over coming 3 years to reach 70% of retail price.</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 xml:space="preserve">Initially, the number of additional compliance inspectors hired. In short to medium term, </w:t>
            </w:r>
            <w:proofErr w:type="gramStart"/>
            <w:r>
              <w:rPr>
                <w:rFonts w:ascii="Calibri" w:eastAsia="Calibri" w:hAnsi="Calibri" w:cs="Times New Roman"/>
              </w:rPr>
              <w:t>number of violations recorded, and in medium to longer term evidence</w:t>
            </w:r>
            <w:proofErr w:type="gramEnd"/>
            <w:r>
              <w:rPr>
                <w:rFonts w:ascii="Calibri" w:eastAsia="Calibri" w:hAnsi="Calibri" w:cs="Times New Roman"/>
              </w:rPr>
              <w:t xml:space="preserve"> that excise revenue increasing / illegal sales decreasing.</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lastRenderedPageBreak/>
              <w:t>If implemented, reduction in use of tobacco.</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 xml:space="preserve">Increases in additional revenue and reduction over time in alcohol related NCDs (especially liver cancer </w:t>
            </w:r>
            <w:proofErr w:type="spellStart"/>
            <w:r>
              <w:rPr>
                <w:rFonts w:ascii="Calibri" w:eastAsia="Calibri" w:hAnsi="Calibri" w:cs="Times New Roman"/>
              </w:rPr>
              <w:t>etc</w:t>
            </w:r>
            <w:proofErr w:type="spellEnd"/>
            <w:r>
              <w:rPr>
                <w:rFonts w:ascii="Calibri" w:eastAsia="Calibri" w:hAnsi="Calibri" w:cs="Times New Roman"/>
              </w:rPr>
              <w:t>) and alcohol related violence</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pPr>
              <w:rPr>
                <w:rFonts w:ascii="Calibri" w:eastAsia="Calibri" w:hAnsi="Calibri" w:cs="Times New Roman"/>
              </w:rPr>
            </w:pPr>
          </w:p>
        </w:tc>
        <w:tc>
          <w:tcPr>
            <w:tcW w:w="1882"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lastRenderedPageBreak/>
              <w:t xml:space="preserve">Some financial and management costs in setting up and then regularly implementing more rigorous resource allocation criteria. If done properly, and implemented, potential for very large savings and freeing up of existing resources that can be reallocated to higher priorities / higher impact goods and services. </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r>
              <w:rPr>
                <w:rFonts w:ascii="Calibri" w:eastAsia="Calibri" w:hAnsi="Calibri" w:cs="Times New Roman"/>
              </w:rPr>
              <w:t>Increased Revenue</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Employment of additional inspectors should be revenue generating over the short to medium term as they improve compliance with the increased excise duties.</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lastRenderedPageBreak/>
              <w:t xml:space="preserve">Potentially high cost </w:t>
            </w:r>
            <w:proofErr w:type="spellStart"/>
            <w:r>
              <w:rPr>
                <w:rFonts w:ascii="Calibri" w:eastAsia="Calibri" w:hAnsi="Calibri" w:cs="Times New Roman"/>
              </w:rPr>
              <w:t>if</w:t>
            </w:r>
            <w:proofErr w:type="spellEnd"/>
            <w:r>
              <w:rPr>
                <w:rFonts w:ascii="Calibri" w:eastAsia="Calibri" w:hAnsi="Calibri" w:cs="Times New Roman"/>
              </w:rPr>
              <w:t xml:space="preserve"> litigation is involved.</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r>
              <w:rPr>
                <w:rFonts w:ascii="Calibri" w:eastAsia="Calibri" w:hAnsi="Calibri" w:cs="Times New Roman"/>
              </w:rPr>
              <w:t xml:space="preserve">Will depend upon price </w:t>
            </w:r>
            <w:proofErr w:type="spellStart"/>
            <w:r>
              <w:rPr>
                <w:rFonts w:ascii="Calibri" w:eastAsia="Calibri" w:hAnsi="Calibri" w:cs="Times New Roman"/>
              </w:rPr>
              <w:t>elasticities</w:t>
            </w:r>
            <w:proofErr w:type="spellEnd"/>
            <w:r>
              <w:rPr>
                <w:rFonts w:ascii="Calibri" w:eastAsia="Calibri" w:hAnsi="Calibri" w:cs="Times New Roman"/>
              </w:rPr>
              <w:t xml:space="preserve"> of individual products and income </w:t>
            </w:r>
            <w:proofErr w:type="spellStart"/>
            <w:r>
              <w:rPr>
                <w:rFonts w:ascii="Calibri" w:eastAsia="Calibri" w:hAnsi="Calibri" w:cs="Times New Roman"/>
              </w:rPr>
              <w:t>elasticities</w:t>
            </w:r>
            <w:proofErr w:type="spellEnd"/>
            <w:r>
              <w:rPr>
                <w:rFonts w:ascii="Calibri" w:eastAsia="Calibri" w:hAnsi="Calibri" w:cs="Times New Roman"/>
              </w:rPr>
              <w:t xml:space="preserve"> of individual consumers.</w:t>
            </w:r>
          </w:p>
        </w:tc>
        <w:tc>
          <w:tcPr>
            <w:tcW w:w="1882"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lastRenderedPageBreak/>
              <w:t xml:space="preserve">Some financial and management costs in setting up and then regularly implementing more rigorous resource allocation criteria. If done properly, and implemented, potential for very large savings and freeing up of existing resources that can be reallocated to higher priorities / higher impact goods and services. </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Administratively easy to increase the excise duty. Strong resistance can be expected from tobacco industry. Need to ensure local smallholders do not increase growing of local tobacco leaf. Need to ensure compliance of new excise rates at customs borders and in small local trade stores.</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Administratively easy to employ additional inspectors and improve compliance. Some risk of bribery.</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lastRenderedPageBreak/>
              <w:t>Feasibility should be assessed after current dispute between Australia and tobacco companies resolved.</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Increasing excise duties on alcohol is relatively straightforward from an administrative point of view.</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pPr>
              <w:rPr>
                <w:rFonts w:ascii="Calibri" w:eastAsia="Calibri" w:hAnsi="Calibri" w:cs="Times New Roman"/>
              </w:rPr>
            </w:pPr>
          </w:p>
        </w:tc>
        <w:tc>
          <w:tcPr>
            <w:tcW w:w="1883"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lastRenderedPageBreak/>
              <w:t xml:space="preserve">Possible resistance and inertia from Ministry of Health officials initially. But if </w:t>
            </w:r>
            <w:proofErr w:type="gramStart"/>
            <w:r>
              <w:rPr>
                <w:rFonts w:ascii="Calibri" w:eastAsia="Calibri" w:hAnsi="Calibri" w:cs="Times New Roman"/>
              </w:rPr>
              <w:t>improved resource allocation criteria convinces</w:t>
            </w:r>
            <w:proofErr w:type="gramEnd"/>
            <w:r>
              <w:rPr>
                <w:rFonts w:ascii="Calibri" w:eastAsia="Calibri" w:hAnsi="Calibri" w:cs="Times New Roman"/>
              </w:rPr>
              <w:t xml:space="preserve"> Ministry of Finance, and development partners, that MOH has better management of scarce resources, the business case for seeking additional funding is stronger.</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 xml:space="preserve">Significant and measurable reduction in NCDs over the medium to longer term. Reduction in wasted expenditure on cigarettes by the poor and the young as price increases take effect. Increased revenue for Ministry of Finance (depending upon price </w:t>
            </w:r>
            <w:proofErr w:type="spellStart"/>
            <w:r>
              <w:rPr>
                <w:rFonts w:ascii="Calibri" w:eastAsia="Calibri" w:hAnsi="Calibri" w:cs="Times New Roman"/>
              </w:rPr>
              <w:t>elasticities</w:t>
            </w:r>
            <w:proofErr w:type="spellEnd"/>
            <w:r>
              <w:rPr>
                <w:rFonts w:ascii="Calibri" w:eastAsia="Calibri" w:hAnsi="Calibri" w:cs="Times New Roman"/>
              </w:rPr>
              <w:t xml:space="preserve"> and compliance). Tobacco companies lose production and </w:t>
            </w:r>
            <w:r>
              <w:rPr>
                <w:rFonts w:ascii="Calibri" w:eastAsia="Calibri" w:hAnsi="Calibri" w:cs="Times New Roman"/>
              </w:rPr>
              <w:lastRenderedPageBreak/>
              <w:t xml:space="preserve">sales over the medium term. </w:t>
            </w:r>
          </w:p>
          <w:p w:rsidR="006E77FE" w:rsidRDefault="006E77FE" w:rsidP="006E77FE">
            <w:pPr>
              <w:rPr>
                <w:rFonts w:ascii="Calibri" w:eastAsia="Calibri" w:hAnsi="Calibri" w:cs="Times New Roman"/>
              </w:rPr>
            </w:pPr>
            <w:r>
              <w:rPr>
                <w:rFonts w:ascii="Calibri" w:eastAsia="Calibri" w:hAnsi="Calibri" w:cs="Times New Roman"/>
              </w:rPr>
              <w:t>Government revenue a winner. Local traders breaking the law a</w:t>
            </w:r>
            <w:r>
              <w:rPr>
                <w:rFonts w:ascii="Calibri" w:eastAsia="Calibri" w:hAnsi="Calibri" w:cs="Times New Roman"/>
              </w:rPr>
              <w:t xml:space="preserve"> loser.</w:t>
            </w:r>
          </w:p>
          <w:p w:rsidR="006E77FE" w:rsidRDefault="006E77FE" w:rsidP="006E77FE">
            <w:pPr>
              <w:rPr>
                <w:rFonts w:ascii="Calibri" w:eastAsia="Calibri" w:hAnsi="Calibri" w:cs="Times New Roman"/>
              </w:rPr>
            </w:pPr>
            <w:r>
              <w:rPr>
                <w:rFonts w:ascii="Calibri" w:eastAsia="Calibri" w:hAnsi="Calibri" w:cs="Times New Roman"/>
              </w:rPr>
              <w:t xml:space="preserve">Credibility and authority of Government increased. Some unhappiness from consumers and traders currently breaking the law. </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lastRenderedPageBreak/>
              <w:t>Reduction in tobacco users and therefore NCDs. Risk of litigation from tobacco companies who see branding as a key device to promote their products.</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r>
              <w:rPr>
                <w:rFonts w:ascii="Calibri" w:eastAsia="Calibri" w:hAnsi="Calibri" w:cs="Times New Roman"/>
              </w:rPr>
              <w:t>Resistance from industry, support from women’s groups and churches.</w:t>
            </w:r>
          </w:p>
          <w:p w:rsidR="006E77FE" w:rsidRDefault="006E77FE" w:rsidP="006E77FE">
            <w:pPr>
              <w:rPr>
                <w:rFonts w:ascii="Calibri" w:eastAsia="Calibri" w:hAnsi="Calibri" w:cs="Times New Roman"/>
              </w:rPr>
            </w:pPr>
          </w:p>
          <w:p w:rsidR="006E77FE" w:rsidRDefault="006E77FE" w:rsidP="006E77FE">
            <w:pPr>
              <w:rPr>
                <w:rFonts w:ascii="Calibri" w:eastAsia="Calibri" w:hAnsi="Calibri" w:cs="Times New Roman"/>
              </w:rPr>
            </w:pPr>
          </w:p>
        </w:tc>
      </w:tr>
      <w:tr w:rsidR="006E77FE" w:rsidTr="006E77FE">
        <w:tc>
          <w:tcPr>
            <w:tcW w:w="1882" w:type="dxa"/>
            <w:tcBorders>
              <w:top w:val="single" w:sz="4" w:space="0" w:color="auto"/>
              <w:left w:val="single" w:sz="4" w:space="0" w:color="auto"/>
              <w:bottom w:val="single" w:sz="4" w:space="0" w:color="auto"/>
              <w:right w:val="single" w:sz="4" w:space="0" w:color="auto"/>
            </w:tcBorders>
            <w:hideMark/>
          </w:tcPr>
          <w:p w:rsidR="006E77FE" w:rsidRDefault="006E77FE">
            <w:r>
              <w:rPr>
                <w:rFonts w:ascii="Calibri" w:eastAsia="Calibri" w:hAnsi="Calibri" w:cs="Times New Roman"/>
                <w:b/>
                <w:bCs/>
              </w:rPr>
              <w:lastRenderedPageBreak/>
              <w:t>Ministries  of Customs and Excise</w:t>
            </w:r>
          </w:p>
        </w:tc>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Strengthen the collection of excise duties on tobacco, alcohol and unhealthy food products (</w:t>
            </w:r>
            <w:proofErr w:type="spellStart"/>
            <w:r>
              <w:rPr>
                <w:rFonts w:ascii="Calibri" w:eastAsia="Calibri" w:hAnsi="Calibri" w:cs="Times New Roman"/>
              </w:rPr>
              <w:t>eg</w:t>
            </w:r>
            <w:proofErr w:type="spellEnd"/>
            <w:r>
              <w:rPr>
                <w:rFonts w:ascii="Calibri" w:eastAsia="Calibri" w:hAnsi="Calibri" w:cs="Times New Roman"/>
              </w:rPr>
              <w:t xml:space="preserve"> strengthen compliance of existing laws to reduce the sale of single stick cigarettes at markets).</w:t>
            </w:r>
          </w:p>
          <w:p w:rsidR="006E77FE" w:rsidRDefault="006E77FE">
            <w:pPr>
              <w:rPr>
                <w:rFonts w:ascii="Calibri" w:eastAsia="Calibri" w:hAnsi="Calibri" w:cs="Times New Roman"/>
              </w:rPr>
            </w:pPr>
          </w:p>
          <w:p w:rsidR="006E77FE" w:rsidRDefault="006E77FE">
            <w:r>
              <w:rPr>
                <w:rFonts w:ascii="Calibri" w:eastAsia="Calibri" w:hAnsi="Calibri" w:cs="Times New Roman"/>
              </w:rPr>
              <w:t xml:space="preserve">Collect – and publish – statistics on excise revenue collection of unhealthy products in collaboration with National Statistics Office, MOH and </w:t>
            </w:r>
            <w:r>
              <w:rPr>
                <w:rFonts w:ascii="Calibri" w:eastAsia="Calibri" w:hAnsi="Calibri" w:cs="Times New Roman"/>
              </w:rPr>
              <w:lastRenderedPageBreak/>
              <w:t>Ministry of Finance</w:t>
            </w:r>
          </w:p>
        </w:tc>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lastRenderedPageBreak/>
              <w:t>Reduces disregard of government regulations</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r>
              <w:rPr>
                <w:rFonts w:ascii="Calibri" w:eastAsia="Calibri" w:hAnsi="Calibri" w:cs="Times New Roman"/>
              </w:rPr>
              <w:t xml:space="preserve">Improves the statistical and evidence base for policy making and future revenue collection </w:t>
            </w:r>
          </w:p>
        </w:tc>
        <w:tc>
          <w:tcPr>
            <w:tcW w:w="1883"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Rise in the total value of revenue collected from unhealthy products.</w:t>
            </w: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p>
          <w:p w:rsidR="006E77FE" w:rsidRDefault="006E77FE">
            <w:pPr>
              <w:rPr>
                <w:rFonts w:ascii="Calibri" w:eastAsia="Calibri" w:hAnsi="Calibri" w:cs="Times New Roman"/>
              </w:rPr>
            </w:pPr>
            <w:r>
              <w:rPr>
                <w:rFonts w:ascii="Calibri" w:eastAsia="Calibri" w:hAnsi="Calibri" w:cs="Times New Roman"/>
              </w:rPr>
              <w:t>Map showing ‘hot spots’ where unhealthy products are widely known to be sold, but where excise duties are inexplicably low</w:t>
            </w:r>
          </w:p>
        </w:tc>
        <w:tc>
          <w:tcPr>
            <w:tcW w:w="1882" w:type="dxa"/>
            <w:tcBorders>
              <w:top w:val="single" w:sz="4" w:space="0" w:color="auto"/>
              <w:left w:val="single" w:sz="4" w:space="0" w:color="auto"/>
              <w:bottom w:val="single" w:sz="4" w:space="0" w:color="auto"/>
              <w:right w:val="single" w:sz="4" w:space="0" w:color="auto"/>
            </w:tcBorders>
            <w:hideMark/>
          </w:tcPr>
          <w:p w:rsidR="006E77FE" w:rsidRDefault="006E77FE">
            <w:pPr>
              <w:rPr>
                <w:rFonts w:ascii="Calibri" w:eastAsia="Calibri" w:hAnsi="Calibri" w:cs="Times New Roman"/>
              </w:rPr>
            </w:pPr>
            <w:r>
              <w:rPr>
                <w:rFonts w:ascii="Calibri" w:eastAsia="Calibri" w:hAnsi="Calibri" w:cs="Times New Roman"/>
              </w:rPr>
              <w:t>Will increase government revenue collection</w:t>
            </w:r>
          </w:p>
        </w:tc>
        <w:tc>
          <w:tcPr>
            <w:tcW w:w="1882" w:type="dxa"/>
            <w:tcBorders>
              <w:top w:val="single" w:sz="4" w:space="0" w:color="auto"/>
              <w:left w:val="single" w:sz="4" w:space="0" w:color="auto"/>
              <w:bottom w:val="single" w:sz="4" w:space="0" w:color="auto"/>
              <w:right w:val="single" w:sz="4" w:space="0" w:color="auto"/>
            </w:tcBorders>
            <w:hideMark/>
          </w:tcPr>
          <w:p w:rsidR="006E77FE" w:rsidRDefault="006E77FE">
            <w:pPr>
              <w:rPr>
                <w:rFonts w:ascii="Calibri" w:eastAsia="Calibri" w:hAnsi="Calibri" w:cs="Times New Roman"/>
              </w:rPr>
            </w:pPr>
            <w:r>
              <w:rPr>
                <w:rFonts w:ascii="Calibri" w:eastAsia="Calibri" w:hAnsi="Calibri" w:cs="Times New Roman"/>
              </w:rPr>
              <w:t>Administratively feasible. But needs to be well supervised to ensure compliance officers are not subject to threats or bribes.</w:t>
            </w:r>
          </w:p>
        </w:tc>
        <w:tc>
          <w:tcPr>
            <w:tcW w:w="1883"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Resistance from small trade store owners and others currently not paying the correct amount of excise revenue.  Criticism from general public unless the reasons for the tighter compliance are explained well in advance.</w:t>
            </w:r>
          </w:p>
          <w:p w:rsidR="006E77FE" w:rsidRDefault="006E77FE">
            <w:pPr>
              <w:rPr>
                <w:rFonts w:ascii="Calibri" w:eastAsia="Calibri" w:hAnsi="Calibri" w:cs="Times New Roman"/>
              </w:rPr>
            </w:pPr>
          </w:p>
          <w:p w:rsidR="006E77FE" w:rsidRDefault="006E77FE">
            <w:pPr>
              <w:rPr>
                <w:rFonts w:ascii="Calibri" w:eastAsia="Calibri" w:hAnsi="Calibri" w:cs="Times New Roman"/>
              </w:rPr>
            </w:pPr>
            <w:r>
              <w:rPr>
                <w:rFonts w:ascii="Calibri" w:eastAsia="Calibri" w:hAnsi="Calibri" w:cs="Times New Roman"/>
              </w:rPr>
              <w:t xml:space="preserve">Support from National Statistics Office, PMs office </w:t>
            </w:r>
            <w:proofErr w:type="spellStart"/>
            <w:r>
              <w:rPr>
                <w:rFonts w:ascii="Calibri" w:eastAsia="Calibri" w:hAnsi="Calibri" w:cs="Times New Roman"/>
              </w:rPr>
              <w:t>etc</w:t>
            </w:r>
            <w:proofErr w:type="spellEnd"/>
            <w:r>
              <w:rPr>
                <w:rFonts w:ascii="Calibri" w:eastAsia="Calibri" w:hAnsi="Calibri" w:cs="Times New Roman"/>
              </w:rPr>
              <w:t xml:space="preserve"> for generating a better statistical evidence base for policy. </w:t>
            </w:r>
          </w:p>
        </w:tc>
      </w:tr>
      <w:tr w:rsidR="006E77FE" w:rsidTr="006E77FE">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b/>
                <w:bCs/>
              </w:rPr>
            </w:pPr>
            <w:r>
              <w:rPr>
                <w:rFonts w:ascii="Calibri" w:eastAsia="Calibri" w:hAnsi="Calibri" w:cs="Times New Roman"/>
                <w:b/>
                <w:bCs/>
              </w:rPr>
              <w:lastRenderedPageBreak/>
              <w:t>Ministries of Trade</w:t>
            </w:r>
          </w:p>
        </w:tc>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Pacific Islands take a ‘whole of government’ approach, preferably led by the Prime Minister’s Office, and specifically involve Ministries of Health, in the development of a country’s position on  trade and taxation issues</w:t>
            </w:r>
          </w:p>
        </w:tc>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Promote policy coherence in the response to a nationwide and regional NCD crisis. Avoid key health issues (</w:t>
            </w:r>
            <w:proofErr w:type="spellStart"/>
            <w:r>
              <w:rPr>
                <w:rFonts w:ascii="Calibri" w:eastAsia="Calibri" w:hAnsi="Calibri" w:cs="Times New Roman"/>
              </w:rPr>
              <w:t>eg</w:t>
            </w:r>
            <w:proofErr w:type="spellEnd"/>
            <w:r>
              <w:rPr>
                <w:rFonts w:ascii="Calibri" w:eastAsia="Calibri" w:hAnsi="Calibri" w:cs="Times New Roman"/>
              </w:rPr>
              <w:t xml:space="preserve"> import of unhealthy products) being overlooked in policy discussions.</w:t>
            </w:r>
          </w:p>
        </w:tc>
        <w:tc>
          <w:tcPr>
            <w:tcW w:w="1883"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Initially, evidence that Ministry of Health is involved in the formulation of trade policy positions. Over the medium to longer term, evidence that a country’s trade policy position reflects a balancing of health priorities with trade objectives.</w:t>
            </w:r>
          </w:p>
        </w:tc>
        <w:tc>
          <w:tcPr>
            <w:tcW w:w="1882" w:type="dxa"/>
            <w:tcBorders>
              <w:top w:val="single" w:sz="4" w:space="0" w:color="auto"/>
              <w:left w:val="single" w:sz="4" w:space="0" w:color="auto"/>
              <w:bottom w:val="single" w:sz="4" w:space="0" w:color="auto"/>
              <w:right w:val="single" w:sz="4" w:space="0" w:color="auto"/>
            </w:tcBorders>
          </w:tcPr>
          <w:p w:rsidR="006E77FE" w:rsidRDefault="006E77FE" w:rsidP="006E77FE">
            <w:pPr>
              <w:rPr>
                <w:rFonts w:ascii="Calibri" w:eastAsia="Calibri" w:hAnsi="Calibri" w:cs="Times New Roman"/>
              </w:rPr>
            </w:pPr>
            <w:r>
              <w:rPr>
                <w:rFonts w:ascii="Calibri" w:eastAsia="Calibri" w:hAnsi="Calibri" w:cs="Times New Roman"/>
              </w:rPr>
              <w:t>Mixed. Excise duties on some unhealthy imports will increase (</w:t>
            </w:r>
            <w:proofErr w:type="spellStart"/>
            <w:r>
              <w:rPr>
                <w:rFonts w:ascii="Calibri" w:eastAsia="Calibri" w:hAnsi="Calibri" w:cs="Times New Roman"/>
              </w:rPr>
              <w:t>eg</w:t>
            </w:r>
            <w:proofErr w:type="spellEnd"/>
            <w:r>
              <w:rPr>
                <w:rFonts w:ascii="Calibri" w:eastAsia="Calibri" w:hAnsi="Calibri" w:cs="Times New Roman"/>
              </w:rPr>
              <w:t xml:space="preserve"> tobacco, alcohol, sugar-sweetened drinks and unhealthy foods) while excise duties on some other products (fresh fruit and vegetables) decrease.</w:t>
            </w:r>
          </w:p>
          <w:p w:rsidR="006E77FE" w:rsidRDefault="006E77FE">
            <w:pPr>
              <w:rPr>
                <w:rFonts w:ascii="Calibri" w:eastAsia="Calibri" w:hAnsi="Calibri" w:cs="Times New Roman"/>
              </w:rPr>
            </w:pPr>
          </w:p>
        </w:tc>
        <w:tc>
          <w:tcPr>
            <w:tcW w:w="1882"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Administratively simple to involve MOH officials in policy formulation of trade. But some initial resistance likely from Ministry of Trade personnel. (Having Prime Minister’s Office emphas</w:t>
            </w:r>
            <w:r>
              <w:rPr>
                <w:rFonts w:ascii="Calibri" w:eastAsia="Calibri" w:hAnsi="Calibri" w:cs="Times New Roman"/>
              </w:rPr>
              <w:t>is</w:t>
            </w:r>
            <w:r>
              <w:rPr>
                <w:rFonts w:ascii="Calibri" w:eastAsia="Calibri" w:hAnsi="Calibri" w:cs="Times New Roman"/>
              </w:rPr>
              <w:t>ing the NCD crisis rationale for MOH involvement would help reduce institutional resistance).</w:t>
            </w:r>
          </w:p>
        </w:tc>
        <w:tc>
          <w:tcPr>
            <w:tcW w:w="1883" w:type="dxa"/>
            <w:tcBorders>
              <w:top w:val="single" w:sz="4" w:space="0" w:color="auto"/>
              <w:left w:val="single" w:sz="4" w:space="0" w:color="auto"/>
              <w:bottom w:val="single" w:sz="4" w:space="0" w:color="auto"/>
              <w:right w:val="single" w:sz="4" w:space="0" w:color="auto"/>
            </w:tcBorders>
          </w:tcPr>
          <w:p w:rsidR="006E77FE" w:rsidRDefault="006E77FE">
            <w:pPr>
              <w:rPr>
                <w:rFonts w:ascii="Calibri" w:eastAsia="Calibri" w:hAnsi="Calibri" w:cs="Times New Roman"/>
              </w:rPr>
            </w:pPr>
            <w:r>
              <w:rPr>
                <w:rFonts w:ascii="Calibri" w:eastAsia="Calibri" w:hAnsi="Calibri" w:cs="Times New Roman"/>
              </w:rPr>
              <w:t>More coherent ‘whole of government’ approach to trade and economic policy. May be some resistance from Ministry of Trade officials, and opposition from manufacturers and importers of unhealthy products.</w:t>
            </w:r>
          </w:p>
        </w:tc>
      </w:tr>
    </w:tbl>
    <w:p w:rsidR="0044008D" w:rsidRDefault="0044008D"/>
    <w:sectPr w:rsidR="0044008D" w:rsidSect="005A5580">
      <w:pgSz w:w="16838" w:h="11906" w:orient="landscape"/>
      <w:pgMar w:top="198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FE"/>
    <w:rsid w:val="00323640"/>
    <w:rsid w:val="0044008D"/>
    <w:rsid w:val="005A5580"/>
    <w:rsid w:val="006E7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F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5729">
      <w:bodyDiv w:val="1"/>
      <w:marLeft w:val="0"/>
      <w:marRight w:val="0"/>
      <w:marTop w:val="0"/>
      <w:marBottom w:val="0"/>
      <w:divBdr>
        <w:top w:val="none" w:sz="0" w:space="0" w:color="auto"/>
        <w:left w:val="none" w:sz="0" w:space="0" w:color="auto"/>
        <w:bottom w:val="none" w:sz="0" w:space="0" w:color="auto"/>
        <w:right w:val="none" w:sz="0" w:space="0" w:color="auto"/>
      </w:divBdr>
    </w:div>
    <w:div w:id="161512205">
      <w:bodyDiv w:val="1"/>
      <w:marLeft w:val="0"/>
      <w:marRight w:val="0"/>
      <w:marTop w:val="0"/>
      <w:marBottom w:val="0"/>
      <w:divBdr>
        <w:top w:val="none" w:sz="0" w:space="0" w:color="auto"/>
        <w:left w:val="none" w:sz="0" w:space="0" w:color="auto"/>
        <w:bottom w:val="none" w:sz="0" w:space="0" w:color="auto"/>
        <w:right w:val="none" w:sz="0" w:space="0" w:color="auto"/>
      </w:divBdr>
    </w:div>
    <w:div w:id="281495418">
      <w:bodyDiv w:val="1"/>
      <w:marLeft w:val="0"/>
      <w:marRight w:val="0"/>
      <w:marTop w:val="0"/>
      <w:marBottom w:val="0"/>
      <w:divBdr>
        <w:top w:val="none" w:sz="0" w:space="0" w:color="auto"/>
        <w:left w:val="none" w:sz="0" w:space="0" w:color="auto"/>
        <w:bottom w:val="none" w:sz="0" w:space="0" w:color="auto"/>
        <w:right w:val="none" w:sz="0" w:space="0" w:color="auto"/>
      </w:divBdr>
    </w:div>
    <w:div w:id="306205388">
      <w:bodyDiv w:val="1"/>
      <w:marLeft w:val="0"/>
      <w:marRight w:val="0"/>
      <w:marTop w:val="0"/>
      <w:marBottom w:val="0"/>
      <w:divBdr>
        <w:top w:val="none" w:sz="0" w:space="0" w:color="auto"/>
        <w:left w:val="none" w:sz="0" w:space="0" w:color="auto"/>
        <w:bottom w:val="none" w:sz="0" w:space="0" w:color="auto"/>
        <w:right w:val="none" w:sz="0" w:space="0" w:color="auto"/>
      </w:divBdr>
    </w:div>
    <w:div w:id="311058754">
      <w:bodyDiv w:val="1"/>
      <w:marLeft w:val="0"/>
      <w:marRight w:val="0"/>
      <w:marTop w:val="0"/>
      <w:marBottom w:val="0"/>
      <w:divBdr>
        <w:top w:val="none" w:sz="0" w:space="0" w:color="auto"/>
        <w:left w:val="none" w:sz="0" w:space="0" w:color="auto"/>
        <w:bottom w:val="none" w:sz="0" w:space="0" w:color="auto"/>
        <w:right w:val="none" w:sz="0" w:space="0" w:color="auto"/>
      </w:divBdr>
    </w:div>
    <w:div w:id="315456603">
      <w:bodyDiv w:val="1"/>
      <w:marLeft w:val="0"/>
      <w:marRight w:val="0"/>
      <w:marTop w:val="0"/>
      <w:marBottom w:val="0"/>
      <w:divBdr>
        <w:top w:val="none" w:sz="0" w:space="0" w:color="auto"/>
        <w:left w:val="none" w:sz="0" w:space="0" w:color="auto"/>
        <w:bottom w:val="none" w:sz="0" w:space="0" w:color="auto"/>
        <w:right w:val="none" w:sz="0" w:space="0" w:color="auto"/>
      </w:divBdr>
    </w:div>
    <w:div w:id="565148693">
      <w:bodyDiv w:val="1"/>
      <w:marLeft w:val="0"/>
      <w:marRight w:val="0"/>
      <w:marTop w:val="0"/>
      <w:marBottom w:val="0"/>
      <w:divBdr>
        <w:top w:val="none" w:sz="0" w:space="0" w:color="auto"/>
        <w:left w:val="none" w:sz="0" w:space="0" w:color="auto"/>
        <w:bottom w:val="none" w:sz="0" w:space="0" w:color="auto"/>
        <w:right w:val="none" w:sz="0" w:space="0" w:color="auto"/>
      </w:divBdr>
    </w:div>
    <w:div w:id="611786818">
      <w:bodyDiv w:val="1"/>
      <w:marLeft w:val="0"/>
      <w:marRight w:val="0"/>
      <w:marTop w:val="0"/>
      <w:marBottom w:val="0"/>
      <w:divBdr>
        <w:top w:val="none" w:sz="0" w:space="0" w:color="auto"/>
        <w:left w:val="none" w:sz="0" w:space="0" w:color="auto"/>
        <w:bottom w:val="none" w:sz="0" w:space="0" w:color="auto"/>
        <w:right w:val="none" w:sz="0" w:space="0" w:color="auto"/>
      </w:divBdr>
    </w:div>
    <w:div w:id="847719226">
      <w:bodyDiv w:val="1"/>
      <w:marLeft w:val="0"/>
      <w:marRight w:val="0"/>
      <w:marTop w:val="0"/>
      <w:marBottom w:val="0"/>
      <w:divBdr>
        <w:top w:val="none" w:sz="0" w:space="0" w:color="auto"/>
        <w:left w:val="none" w:sz="0" w:space="0" w:color="auto"/>
        <w:bottom w:val="none" w:sz="0" w:space="0" w:color="auto"/>
        <w:right w:val="none" w:sz="0" w:space="0" w:color="auto"/>
      </w:divBdr>
    </w:div>
    <w:div w:id="875894667">
      <w:bodyDiv w:val="1"/>
      <w:marLeft w:val="0"/>
      <w:marRight w:val="0"/>
      <w:marTop w:val="0"/>
      <w:marBottom w:val="0"/>
      <w:divBdr>
        <w:top w:val="none" w:sz="0" w:space="0" w:color="auto"/>
        <w:left w:val="none" w:sz="0" w:space="0" w:color="auto"/>
        <w:bottom w:val="none" w:sz="0" w:space="0" w:color="auto"/>
        <w:right w:val="none" w:sz="0" w:space="0" w:color="auto"/>
      </w:divBdr>
    </w:div>
    <w:div w:id="891815560">
      <w:bodyDiv w:val="1"/>
      <w:marLeft w:val="0"/>
      <w:marRight w:val="0"/>
      <w:marTop w:val="0"/>
      <w:marBottom w:val="0"/>
      <w:divBdr>
        <w:top w:val="none" w:sz="0" w:space="0" w:color="auto"/>
        <w:left w:val="none" w:sz="0" w:space="0" w:color="auto"/>
        <w:bottom w:val="none" w:sz="0" w:space="0" w:color="auto"/>
        <w:right w:val="none" w:sz="0" w:space="0" w:color="auto"/>
      </w:divBdr>
    </w:div>
    <w:div w:id="986470379">
      <w:bodyDiv w:val="1"/>
      <w:marLeft w:val="0"/>
      <w:marRight w:val="0"/>
      <w:marTop w:val="0"/>
      <w:marBottom w:val="0"/>
      <w:divBdr>
        <w:top w:val="none" w:sz="0" w:space="0" w:color="auto"/>
        <w:left w:val="none" w:sz="0" w:space="0" w:color="auto"/>
        <w:bottom w:val="none" w:sz="0" w:space="0" w:color="auto"/>
        <w:right w:val="none" w:sz="0" w:space="0" w:color="auto"/>
      </w:divBdr>
    </w:div>
    <w:div w:id="1292594396">
      <w:bodyDiv w:val="1"/>
      <w:marLeft w:val="0"/>
      <w:marRight w:val="0"/>
      <w:marTop w:val="0"/>
      <w:marBottom w:val="0"/>
      <w:divBdr>
        <w:top w:val="none" w:sz="0" w:space="0" w:color="auto"/>
        <w:left w:val="none" w:sz="0" w:space="0" w:color="auto"/>
        <w:bottom w:val="none" w:sz="0" w:space="0" w:color="auto"/>
        <w:right w:val="none" w:sz="0" w:space="0" w:color="auto"/>
      </w:divBdr>
    </w:div>
    <w:div w:id="1453331259">
      <w:bodyDiv w:val="1"/>
      <w:marLeft w:val="0"/>
      <w:marRight w:val="0"/>
      <w:marTop w:val="0"/>
      <w:marBottom w:val="0"/>
      <w:divBdr>
        <w:top w:val="none" w:sz="0" w:space="0" w:color="auto"/>
        <w:left w:val="none" w:sz="0" w:space="0" w:color="auto"/>
        <w:bottom w:val="none" w:sz="0" w:space="0" w:color="auto"/>
        <w:right w:val="none" w:sz="0" w:space="0" w:color="auto"/>
      </w:divBdr>
    </w:div>
    <w:div w:id="1479767758">
      <w:bodyDiv w:val="1"/>
      <w:marLeft w:val="0"/>
      <w:marRight w:val="0"/>
      <w:marTop w:val="0"/>
      <w:marBottom w:val="0"/>
      <w:divBdr>
        <w:top w:val="none" w:sz="0" w:space="0" w:color="auto"/>
        <w:left w:val="none" w:sz="0" w:space="0" w:color="auto"/>
        <w:bottom w:val="none" w:sz="0" w:space="0" w:color="auto"/>
        <w:right w:val="none" w:sz="0" w:space="0" w:color="auto"/>
      </w:divBdr>
    </w:div>
    <w:div w:id="1499268168">
      <w:bodyDiv w:val="1"/>
      <w:marLeft w:val="0"/>
      <w:marRight w:val="0"/>
      <w:marTop w:val="0"/>
      <w:marBottom w:val="0"/>
      <w:divBdr>
        <w:top w:val="none" w:sz="0" w:space="0" w:color="auto"/>
        <w:left w:val="none" w:sz="0" w:space="0" w:color="auto"/>
        <w:bottom w:val="none" w:sz="0" w:space="0" w:color="auto"/>
        <w:right w:val="none" w:sz="0" w:space="0" w:color="auto"/>
      </w:divBdr>
    </w:div>
    <w:div w:id="1500538869">
      <w:bodyDiv w:val="1"/>
      <w:marLeft w:val="0"/>
      <w:marRight w:val="0"/>
      <w:marTop w:val="0"/>
      <w:marBottom w:val="0"/>
      <w:divBdr>
        <w:top w:val="none" w:sz="0" w:space="0" w:color="auto"/>
        <w:left w:val="none" w:sz="0" w:space="0" w:color="auto"/>
        <w:bottom w:val="none" w:sz="0" w:space="0" w:color="auto"/>
        <w:right w:val="none" w:sz="0" w:space="0" w:color="auto"/>
      </w:divBdr>
    </w:div>
    <w:div w:id="1502502100">
      <w:bodyDiv w:val="1"/>
      <w:marLeft w:val="0"/>
      <w:marRight w:val="0"/>
      <w:marTop w:val="0"/>
      <w:marBottom w:val="0"/>
      <w:divBdr>
        <w:top w:val="none" w:sz="0" w:space="0" w:color="auto"/>
        <w:left w:val="none" w:sz="0" w:space="0" w:color="auto"/>
        <w:bottom w:val="none" w:sz="0" w:space="0" w:color="auto"/>
        <w:right w:val="none" w:sz="0" w:space="0" w:color="auto"/>
      </w:divBdr>
    </w:div>
    <w:div w:id="1502623830">
      <w:bodyDiv w:val="1"/>
      <w:marLeft w:val="0"/>
      <w:marRight w:val="0"/>
      <w:marTop w:val="0"/>
      <w:marBottom w:val="0"/>
      <w:divBdr>
        <w:top w:val="none" w:sz="0" w:space="0" w:color="auto"/>
        <w:left w:val="none" w:sz="0" w:space="0" w:color="auto"/>
        <w:bottom w:val="none" w:sz="0" w:space="0" w:color="auto"/>
        <w:right w:val="none" w:sz="0" w:space="0" w:color="auto"/>
      </w:divBdr>
    </w:div>
    <w:div w:id="1552957623">
      <w:bodyDiv w:val="1"/>
      <w:marLeft w:val="0"/>
      <w:marRight w:val="0"/>
      <w:marTop w:val="0"/>
      <w:marBottom w:val="0"/>
      <w:divBdr>
        <w:top w:val="none" w:sz="0" w:space="0" w:color="auto"/>
        <w:left w:val="none" w:sz="0" w:space="0" w:color="auto"/>
        <w:bottom w:val="none" w:sz="0" w:space="0" w:color="auto"/>
        <w:right w:val="none" w:sz="0" w:space="0" w:color="auto"/>
      </w:divBdr>
    </w:div>
    <w:div w:id="1555699812">
      <w:bodyDiv w:val="1"/>
      <w:marLeft w:val="0"/>
      <w:marRight w:val="0"/>
      <w:marTop w:val="0"/>
      <w:marBottom w:val="0"/>
      <w:divBdr>
        <w:top w:val="none" w:sz="0" w:space="0" w:color="auto"/>
        <w:left w:val="none" w:sz="0" w:space="0" w:color="auto"/>
        <w:bottom w:val="none" w:sz="0" w:space="0" w:color="auto"/>
        <w:right w:val="none" w:sz="0" w:space="0" w:color="auto"/>
      </w:divBdr>
    </w:div>
    <w:div w:id="1838374185">
      <w:bodyDiv w:val="1"/>
      <w:marLeft w:val="0"/>
      <w:marRight w:val="0"/>
      <w:marTop w:val="0"/>
      <w:marBottom w:val="0"/>
      <w:divBdr>
        <w:top w:val="none" w:sz="0" w:space="0" w:color="auto"/>
        <w:left w:val="none" w:sz="0" w:space="0" w:color="auto"/>
        <w:bottom w:val="none" w:sz="0" w:space="0" w:color="auto"/>
        <w:right w:val="none" w:sz="0" w:space="0" w:color="auto"/>
      </w:divBdr>
    </w:div>
    <w:div w:id="1858498567">
      <w:bodyDiv w:val="1"/>
      <w:marLeft w:val="0"/>
      <w:marRight w:val="0"/>
      <w:marTop w:val="0"/>
      <w:marBottom w:val="0"/>
      <w:divBdr>
        <w:top w:val="none" w:sz="0" w:space="0" w:color="auto"/>
        <w:left w:val="none" w:sz="0" w:space="0" w:color="auto"/>
        <w:bottom w:val="none" w:sz="0" w:space="0" w:color="auto"/>
        <w:right w:val="none" w:sz="0" w:space="0" w:color="auto"/>
      </w:divBdr>
    </w:div>
    <w:div w:id="1869174752">
      <w:bodyDiv w:val="1"/>
      <w:marLeft w:val="0"/>
      <w:marRight w:val="0"/>
      <w:marTop w:val="0"/>
      <w:marBottom w:val="0"/>
      <w:divBdr>
        <w:top w:val="none" w:sz="0" w:space="0" w:color="auto"/>
        <w:left w:val="none" w:sz="0" w:space="0" w:color="auto"/>
        <w:bottom w:val="none" w:sz="0" w:space="0" w:color="auto"/>
        <w:right w:val="none" w:sz="0" w:space="0" w:color="auto"/>
      </w:divBdr>
    </w:div>
    <w:div w:id="1878544289">
      <w:bodyDiv w:val="1"/>
      <w:marLeft w:val="0"/>
      <w:marRight w:val="0"/>
      <w:marTop w:val="0"/>
      <w:marBottom w:val="0"/>
      <w:divBdr>
        <w:top w:val="none" w:sz="0" w:space="0" w:color="auto"/>
        <w:left w:val="none" w:sz="0" w:space="0" w:color="auto"/>
        <w:bottom w:val="none" w:sz="0" w:space="0" w:color="auto"/>
        <w:right w:val="none" w:sz="0" w:space="0" w:color="auto"/>
      </w:divBdr>
    </w:div>
    <w:div w:id="1927764880">
      <w:bodyDiv w:val="1"/>
      <w:marLeft w:val="0"/>
      <w:marRight w:val="0"/>
      <w:marTop w:val="0"/>
      <w:marBottom w:val="0"/>
      <w:divBdr>
        <w:top w:val="none" w:sz="0" w:space="0" w:color="auto"/>
        <w:left w:val="none" w:sz="0" w:space="0" w:color="auto"/>
        <w:bottom w:val="none" w:sz="0" w:space="0" w:color="auto"/>
        <w:right w:val="none" w:sz="0" w:space="0" w:color="auto"/>
      </w:divBdr>
    </w:div>
    <w:div w:id="2038039798">
      <w:bodyDiv w:val="1"/>
      <w:marLeft w:val="0"/>
      <w:marRight w:val="0"/>
      <w:marTop w:val="0"/>
      <w:marBottom w:val="0"/>
      <w:divBdr>
        <w:top w:val="none" w:sz="0" w:space="0" w:color="auto"/>
        <w:left w:val="none" w:sz="0" w:space="0" w:color="auto"/>
        <w:bottom w:val="none" w:sz="0" w:space="0" w:color="auto"/>
        <w:right w:val="none" w:sz="0" w:space="0" w:color="auto"/>
      </w:divBdr>
    </w:div>
    <w:div w:id="206294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SPC</Company>
  <LinksUpToDate>false</LinksUpToDate>
  <CharactersWithSpaces>8147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Pullar</dc:creator>
  <cp:lastModifiedBy>Jessica Pullar</cp:lastModifiedBy>
  <cp:revision>1</cp:revision>
  <dcterms:created xsi:type="dcterms:W3CDTF">2015-01-15T05:21:00Z</dcterms:created>
  <dcterms:modified xsi:type="dcterms:W3CDTF">2015-01-15T05:34:00Z</dcterms:modified>
</cp:coreProperties>
</file>