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A6B0F">
      <w:pPr>
        <w:pStyle w:val="HeadHatzaotHok"/>
        <w:rPr>
          <w:rFonts w:cs="David"/>
          <w:sz w:val="28"/>
          <w:szCs w:val="28"/>
          <w:rtl/>
        </w:rPr>
      </w:pPr>
      <w:r>
        <w:rPr>
          <w:rFonts w:cs="David"/>
          <w:sz w:val="28"/>
          <w:szCs w:val="28"/>
          <w:rtl/>
        </w:rPr>
        <w:t xml:space="preserve">הכנסת </w:t>
      </w:r>
      <w:bookmarkStart w:id="0" w:name="KnessetNum"/>
      <w:r>
        <w:rPr>
          <w:rFonts w:cs="David"/>
          <w:sz w:val="28"/>
          <w:szCs w:val="28"/>
          <w:rtl/>
        </w:rPr>
        <w:t>השמונה-עשרה</w:t>
      </w:r>
      <w:bookmarkEnd w:id="0"/>
    </w:p>
    <w:p w:rsidR="00000000" w:rsidRDefault="009A6B0F">
      <w:pPr>
        <w:rPr>
          <w:rFonts w:cs="David"/>
          <w:sz w:val="26"/>
          <w:szCs w:val="26"/>
          <w:rtl/>
        </w:rPr>
      </w:pPr>
    </w:p>
    <w:p w:rsidR="00000000" w:rsidRDefault="009A6B0F">
      <w:pPr>
        <w:pStyle w:val="David"/>
        <w:ind w:left="2880" w:firstLine="720"/>
        <w:rPr>
          <w:rFonts w:cs="David"/>
          <w:b/>
          <w:bCs/>
        </w:rPr>
      </w:pPr>
      <w:r>
        <w:rPr>
          <w:rFonts w:cs="David" w:hint="cs"/>
          <w:rtl/>
        </w:rPr>
        <w:t>הצעת</w:t>
      </w:r>
      <w:r>
        <w:rPr>
          <w:rFonts w:cs="David"/>
          <w:rtl/>
        </w:rPr>
        <w:t xml:space="preserve"> </w:t>
      </w:r>
      <w:r>
        <w:rPr>
          <w:rFonts w:cs="David" w:hint="cs"/>
          <w:rtl/>
        </w:rPr>
        <w:t>חוק</w:t>
      </w:r>
      <w:r>
        <w:rPr>
          <w:rFonts w:cs="David"/>
          <w:rtl/>
        </w:rPr>
        <w:t xml:space="preserve"> </w:t>
      </w:r>
      <w:r>
        <w:rPr>
          <w:rFonts w:cs="David" w:hint="cs"/>
          <w:rtl/>
        </w:rPr>
        <w:t>של</w:t>
      </w:r>
      <w:r>
        <w:rPr>
          <w:rFonts w:cs="David"/>
          <w:rtl/>
        </w:rPr>
        <w:t xml:space="preserve">  </w:t>
      </w:r>
      <w:bookmarkStart w:id="1" w:name="MKsSingleOrMulti"/>
      <w:r>
        <w:rPr>
          <w:rFonts w:cs="David" w:hint="cs"/>
          <w:rtl/>
        </w:rPr>
        <w:t>חברי</w:t>
      </w:r>
      <w:r>
        <w:rPr>
          <w:rFonts w:cs="David"/>
          <w:rtl/>
        </w:rPr>
        <w:t xml:space="preserve"> </w:t>
      </w:r>
      <w:r>
        <w:rPr>
          <w:rFonts w:cs="David" w:hint="cs"/>
          <w:rtl/>
        </w:rPr>
        <w:t>הכנסת</w:t>
      </w:r>
      <w:bookmarkEnd w:id="1"/>
      <w:r>
        <w:rPr>
          <w:rFonts w:cs="David"/>
          <w:rtl/>
        </w:rPr>
        <w:tab/>
      </w:r>
      <w:r>
        <w:rPr>
          <w:rFonts w:cs="David"/>
        </w:rPr>
        <w:tab/>
      </w:r>
      <w:bookmarkStart w:id="2" w:name="MKs"/>
      <w:r>
        <w:rPr>
          <w:rFonts w:cs="David" w:hint="cs"/>
          <w:b/>
          <w:bCs/>
          <w:rtl/>
        </w:rPr>
        <w:t>אורלי</w:t>
      </w:r>
      <w:r>
        <w:rPr>
          <w:rFonts w:cs="David"/>
          <w:b/>
          <w:bCs/>
          <w:rtl/>
        </w:rPr>
        <w:t xml:space="preserve"> </w:t>
      </w:r>
      <w:r>
        <w:rPr>
          <w:rFonts w:cs="David" w:hint="cs"/>
          <w:b/>
          <w:bCs/>
          <w:rtl/>
        </w:rPr>
        <w:t>לוי</w:t>
      </w:r>
      <w:r>
        <w:rPr>
          <w:rFonts w:cs="David"/>
          <w:b/>
          <w:bCs/>
          <w:rtl/>
        </w:rPr>
        <w:t xml:space="preserve"> </w:t>
      </w:r>
      <w:r>
        <w:rPr>
          <w:rFonts w:cs="David" w:hint="cs"/>
          <w:b/>
          <w:bCs/>
          <w:rtl/>
        </w:rPr>
        <w:t>אבקסיס</w:t>
      </w:r>
    </w:p>
    <w:p w:rsidR="00000000" w:rsidRDefault="009A6B0F">
      <w:pPr>
        <w:pStyle w:val="David"/>
        <w:ind w:left="2880" w:firstLine="720"/>
        <w:rPr>
          <w:rFonts w:cs="David"/>
          <w:b/>
          <w:bCs/>
        </w:rPr>
      </w:pPr>
      <w:r>
        <w:rPr>
          <w:rFonts w:cs="David"/>
          <w:b/>
          <w:bCs/>
        </w:rPr>
        <w:tab/>
      </w:r>
      <w:r>
        <w:rPr>
          <w:rFonts w:cs="David"/>
          <w:b/>
          <w:bCs/>
        </w:rPr>
        <w:tab/>
      </w:r>
      <w:r>
        <w:rPr>
          <w:rFonts w:cs="David"/>
          <w:b/>
          <w:bCs/>
        </w:rPr>
        <w:tab/>
      </w:r>
      <w:r>
        <w:rPr>
          <w:rFonts w:cs="David"/>
          <w:b/>
          <w:bCs/>
        </w:rPr>
        <w:tab/>
      </w:r>
      <w:r>
        <w:rPr>
          <w:rFonts w:cs="David"/>
          <w:b/>
          <w:bCs/>
        </w:rPr>
        <w:tab/>
      </w:r>
      <w:r>
        <w:rPr>
          <w:rFonts w:cs="David" w:hint="cs"/>
          <w:b/>
          <w:bCs/>
          <w:rtl/>
        </w:rPr>
        <w:t>ציפי</w:t>
      </w:r>
      <w:r>
        <w:rPr>
          <w:rFonts w:cs="David"/>
          <w:b/>
          <w:bCs/>
          <w:rtl/>
        </w:rPr>
        <w:t xml:space="preserve"> </w:t>
      </w:r>
      <w:r>
        <w:rPr>
          <w:rFonts w:cs="David" w:hint="cs"/>
          <w:b/>
          <w:bCs/>
          <w:rtl/>
        </w:rPr>
        <w:t>חוטובלי</w:t>
      </w:r>
    </w:p>
    <w:p w:rsidR="00000000" w:rsidRDefault="009A6B0F">
      <w:pPr>
        <w:pStyle w:val="David"/>
        <w:ind w:left="2880" w:firstLine="720"/>
        <w:rPr>
          <w:rFonts w:cs="David"/>
          <w:b/>
          <w:bCs/>
        </w:rPr>
      </w:pPr>
      <w:r>
        <w:rPr>
          <w:rFonts w:cs="David"/>
          <w:b/>
          <w:bCs/>
        </w:rPr>
        <w:tab/>
      </w:r>
      <w:r>
        <w:rPr>
          <w:rFonts w:cs="David"/>
          <w:b/>
          <w:bCs/>
        </w:rPr>
        <w:tab/>
      </w:r>
      <w:r>
        <w:rPr>
          <w:rFonts w:cs="David"/>
          <w:b/>
          <w:bCs/>
        </w:rPr>
        <w:tab/>
      </w:r>
      <w:r>
        <w:rPr>
          <w:rFonts w:cs="David"/>
          <w:b/>
          <w:bCs/>
        </w:rPr>
        <w:tab/>
      </w:r>
      <w:r>
        <w:rPr>
          <w:rFonts w:cs="David"/>
          <w:b/>
          <w:bCs/>
        </w:rPr>
        <w:tab/>
      </w:r>
      <w:r>
        <w:rPr>
          <w:rFonts w:cs="David" w:hint="cs"/>
          <w:b/>
          <w:bCs/>
          <w:rtl/>
        </w:rPr>
        <w:t>שלי</w:t>
      </w:r>
      <w:r>
        <w:rPr>
          <w:rFonts w:cs="David"/>
          <w:b/>
          <w:bCs/>
          <w:rtl/>
        </w:rPr>
        <w:t xml:space="preserve"> </w:t>
      </w:r>
      <w:r>
        <w:rPr>
          <w:rFonts w:cs="David" w:hint="cs"/>
          <w:b/>
          <w:bCs/>
          <w:rtl/>
        </w:rPr>
        <w:t>יחימוביץ</w:t>
      </w:r>
      <w:r>
        <w:rPr>
          <w:rFonts w:cs="David"/>
          <w:b/>
          <w:bCs/>
        </w:rPr>
        <w:t>'</w:t>
      </w:r>
    </w:p>
    <w:p w:rsidR="00000000" w:rsidRDefault="009A6B0F">
      <w:pPr>
        <w:pStyle w:val="David"/>
        <w:ind w:left="2880" w:firstLine="720"/>
        <w:rPr>
          <w:rFonts w:cs="David"/>
          <w:b/>
          <w:bCs/>
        </w:rPr>
      </w:pPr>
      <w:r>
        <w:rPr>
          <w:rFonts w:cs="David"/>
          <w:b/>
          <w:bCs/>
        </w:rPr>
        <w:tab/>
      </w:r>
      <w:r>
        <w:rPr>
          <w:rFonts w:cs="David"/>
          <w:b/>
          <w:bCs/>
        </w:rPr>
        <w:tab/>
      </w:r>
      <w:r>
        <w:rPr>
          <w:rFonts w:cs="David"/>
          <w:b/>
          <w:bCs/>
        </w:rPr>
        <w:tab/>
      </w:r>
      <w:r>
        <w:rPr>
          <w:rFonts w:cs="David"/>
          <w:b/>
          <w:bCs/>
        </w:rPr>
        <w:tab/>
      </w:r>
      <w:r>
        <w:rPr>
          <w:rFonts w:cs="David"/>
          <w:b/>
          <w:bCs/>
        </w:rPr>
        <w:tab/>
      </w:r>
      <w:r>
        <w:rPr>
          <w:rFonts w:cs="David" w:hint="cs"/>
          <w:b/>
          <w:bCs/>
          <w:rtl/>
        </w:rPr>
        <w:t>ליה</w:t>
      </w:r>
      <w:r>
        <w:rPr>
          <w:rFonts w:cs="David"/>
          <w:b/>
          <w:bCs/>
          <w:rtl/>
        </w:rPr>
        <w:t xml:space="preserve"> </w:t>
      </w:r>
      <w:r>
        <w:rPr>
          <w:rFonts w:cs="David" w:hint="cs"/>
          <w:b/>
          <w:bCs/>
          <w:rtl/>
        </w:rPr>
        <w:t>שמטוב</w:t>
      </w:r>
    </w:p>
    <w:p w:rsidR="00000000" w:rsidRDefault="009A6B0F">
      <w:pPr>
        <w:pStyle w:val="David"/>
        <w:ind w:left="2880" w:firstLine="720"/>
        <w:rPr>
          <w:rFonts w:cs="David"/>
          <w:b/>
          <w:bCs/>
        </w:rPr>
      </w:pPr>
      <w:r>
        <w:rPr>
          <w:rFonts w:cs="David"/>
          <w:b/>
          <w:bCs/>
        </w:rPr>
        <w:tab/>
      </w:r>
      <w:r>
        <w:rPr>
          <w:rFonts w:cs="David"/>
          <w:b/>
          <w:bCs/>
        </w:rPr>
        <w:tab/>
      </w:r>
      <w:r>
        <w:rPr>
          <w:rFonts w:cs="David"/>
          <w:b/>
          <w:bCs/>
        </w:rPr>
        <w:tab/>
      </w:r>
      <w:r>
        <w:rPr>
          <w:rFonts w:cs="David"/>
          <w:b/>
          <w:bCs/>
        </w:rPr>
        <w:tab/>
      </w:r>
      <w:r>
        <w:rPr>
          <w:rFonts w:cs="David"/>
          <w:b/>
          <w:bCs/>
        </w:rPr>
        <w:tab/>
      </w:r>
      <w:r>
        <w:rPr>
          <w:rFonts w:cs="David" w:hint="cs"/>
          <w:b/>
          <w:bCs/>
          <w:rtl/>
        </w:rPr>
        <w:t>אלי</w:t>
      </w:r>
      <w:r>
        <w:rPr>
          <w:rFonts w:cs="David"/>
          <w:b/>
          <w:bCs/>
          <w:rtl/>
        </w:rPr>
        <w:t xml:space="preserve"> </w:t>
      </w:r>
      <w:r>
        <w:rPr>
          <w:rFonts w:cs="David" w:hint="cs"/>
          <w:b/>
          <w:bCs/>
          <w:rtl/>
        </w:rPr>
        <w:t>אפללו</w:t>
      </w:r>
    </w:p>
    <w:p w:rsidR="00000000" w:rsidRDefault="009A6B0F">
      <w:pPr>
        <w:pStyle w:val="David"/>
        <w:ind w:left="2880" w:firstLine="720"/>
        <w:rPr>
          <w:rFonts w:cs="David"/>
          <w:b/>
          <w:bCs/>
        </w:rPr>
      </w:pPr>
      <w:r>
        <w:rPr>
          <w:rFonts w:cs="David"/>
          <w:b/>
          <w:bCs/>
        </w:rPr>
        <w:tab/>
      </w:r>
      <w:r>
        <w:rPr>
          <w:rFonts w:cs="David"/>
          <w:b/>
          <w:bCs/>
        </w:rPr>
        <w:tab/>
      </w:r>
      <w:r>
        <w:rPr>
          <w:rFonts w:cs="David"/>
          <w:b/>
          <w:bCs/>
        </w:rPr>
        <w:tab/>
      </w:r>
      <w:r>
        <w:rPr>
          <w:rFonts w:cs="David"/>
          <w:b/>
          <w:bCs/>
        </w:rPr>
        <w:tab/>
      </w:r>
      <w:r>
        <w:rPr>
          <w:rFonts w:cs="David"/>
          <w:b/>
          <w:bCs/>
        </w:rPr>
        <w:tab/>
      </w:r>
      <w:r>
        <w:rPr>
          <w:rFonts w:cs="David" w:hint="cs"/>
          <w:b/>
          <w:bCs/>
          <w:rtl/>
        </w:rPr>
        <w:t>יוליה</w:t>
      </w:r>
      <w:r>
        <w:rPr>
          <w:rFonts w:cs="David"/>
          <w:b/>
          <w:bCs/>
          <w:rtl/>
        </w:rPr>
        <w:t xml:space="preserve"> </w:t>
      </w:r>
      <w:r>
        <w:rPr>
          <w:rFonts w:cs="David" w:hint="cs"/>
          <w:b/>
          <w:bCs/>
          <w:rtl/>
        </w:rPr>
        <w:t>שמאלוב</w:t>
      </w:r>
      <w:r>
        <w:rPr>
          <w:rFonts w:cs="David"/>
          <w:b/>
          <w:bCs/>
          <w:rtl/>
        </w:rPr>
        <w:t>-</w:t>
      </w:r>
      <w:r>
        <w:rPr>
          <w:rFonts w:cs="David" w:hint="cs"/>
          <w:b/>
          <w:bCs/>
          <w:rtl/>
        </w:rPr>
        <w:t>ברקוביץ</w:t>
      </w:r>
    </w:p>
    <w:p w:rsidR="00000000" w:rsidRDefault="009A6B0F">
      <w:pPr>
        <w:pStyle w:val="David"/>
        <w:ind w:left="2880" w:firstLine="720"/>
        <w:rPr>
          <w:rFonts w:cs="David"/>
          <w:b/>
          <w:bCs/>
        </w:rPr>
      </w:pPr>
      <w:r>
        <w:rPr>
          <w:rFonts w:cs="David"/>
          <w:b/>
          <w:bCs/>
        </w:rPr>
        <w:tab/>
      </w:r>
      <w:r>
        <w:rPr>
          <w:rFonts w:cs="David"/>
          <w:b/>
          <w:bCs/>
        </w:rPr>
        <w:tab/>
      </w:r>
      <w:r>
        <w:rPr>
          <w:rFonts w:cs="David"/>
          <w:b/>
          <w:bCs/>
        </w:rPr>
        <w:tab/>
      </w:r>
      <w:r>
        <w:rPr>
          <w:rFonts w:cs="David"/>
          <w:b/>
          <w:bCs/>
        </w:rPr>
        <w:tab/>
      </w:r>
      <w:r>
        <w:rPr>
          <w:rFonts w:cs="David"/>
          <w:b/>
          <w:bCs/>
        </w:rPr>
        <w:tab/>
      </w:r>
      <w:r>
        <w:rPr>
          <w:rFonts w:cs="David" w:hint="cs"/>
          <w:b/>
          <w:bCs/>
          <w:rtl/>
        </w:rPr>
        <w:t>פניה</w:t>
      </w:r>
      <w:r>
        <w:rPr>
          <w:rFonts w:cs="David"/>
          <w:b/>
          <w:bCs/>
          <w:rtl/>
        </w:rPr>
        <w:t xml:space="preserve"> </w:t>
      </w:r>
      <w:r>
        <w:rPr>
          <w:rFonts w:cs="David" w:hint="cs"/>
          <w:b/>
          <w:bCs/>
          <w:rtl/>
        </w:rPr>
        <w:t>קירשנבאום</w:t>
      </w:r>
      <w:bookmarkEnd w:id="2"/>
    </w:p>
    <w:p w:rsidR="00000000" w:rsidRDefault="009A6B0F">
      <w:pPr>
        <w:ind w:left="2880" w:firstLine="720"/>
        <w:rPr>
          <w:rFonts w:cs="David"/>
          <w:sz w:val="26"/>
          <w:szCs w:val="26"/>
        </w:rPr>
      </w:pPr>
      <w:r>
        <w:rPr>
          <w:rFonts w:cs="David"/>
          <w:sz w:val="26"/>
          <w:szCs w:val="26"/>
        </w:rPr>
        <w:tab/>
      </w:r>
      <w:r>
        <w:rPr>
          <w:rFonts w:cs="David"/>
          <w:sz w:val="26"/>
          <w:szCs w:val="26"/>
        </w:rPr>
        <w:tab/>
      </w:r>
      <w:r>
        <w:rPr>
          <w:rFonts w:cs="David"/>
          <w:sz w:val="26"/>
          <w:szCs w:val="26"/>
        </w:rPr>
        <w:tab/>
      </w:r>
      <w:bookmarkStart w:id="3" w:name="MKs1"/>
      <w:r>
        <w:rPr>
          <w:rFonts w:cs="David"/>
          <w:sz w:val="26"/>
          <w:szCs w:val="26"/>
        </w:rPr>
        <w:tab/>
      </w:r>
      <w:r>
        <w:rPr>
          <w:rFonts w:cs="David"/>
          <w:sz w:val="26"/>
          <w:szCs w:val="26"/>
        </w:rPr>
        <w:tab/>
      </w:r>
      <w:r>
        <w:rPr>
          <w:rFonts w:cs="David" w:hint="cs"/>
          <w:sz w:val="26"/>
          <w:szCs w:val="26"/>
          <w:rtl/>
        </w:rPr>
        <w:t>ישראל</w:t>
      </w:r>
      <w:r>
        <w:rPr>
          <w:rFonts w:cs="David"/>
          <w:sz w:val="26"/>
          <w:szCs w:val="26"/>
          <w:rtl/>
        </w:rPr>
        <w:t xml:space="preserve"> </w:t>
      </w:r>
      <w:r>
        <w:rPr>
          <w:rFonts w:cs="David" w:hint="cs"/>
          <w:sz w:val="26"/>
          <w:szCs w:val="26"/>
          <w:rtl/>
        </w:rPr>
        <w:t>חסון</w:t>
      </w:r>
    </w:p>
    <w:p w:rsidR="00000000" w:rsidRDefault="009A6B0F">
      <w:pPr>
        <w:ind w:left="2880" w:firstLine="720"/>
        <w:rPr>
          <w:rFonts w:cs="David"/>
          <w:sz w:val="26"/>
          <w:szCs w:val="26"/>
        </w:rPr>
      </w:pP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hint="cs"/>
          <w:sz w:val="26"/>
          <w:szCs w:val="26"/>
          <w:rtl/>
        </w:rPr>
        <w:t>חנא</w:t>
      </w:r>
      <w:r>
        <w:rPr>
          <w:rFonts w:cs="David"/>
          <w:sz w:val="26"/>
          <w:szCs w:val="26"/>
          <w:rtl/>
        </w:rPr>
        <w:t xml:space="preserve"> </w:t>
      </w:r>
      <w:r>
        <w:rPr>
          <w:rFonts w:cs="David" w:hint="cs"/>
          <w:sz w:val="26"/>
          <w:szCs w:val="26"/>
          <w:rtl/>
        </w:rPr>
        <w:t>סוייד</w:t>
      </w:r>
    </w:p>
    <w:p w:rsidR="00000000" w:rsidRDefault="009A6B0F">
      <w:pPr>
        <w:ind w:left="2880" w:firstLine="720"/>
        <w:rPr>
          <w:rFonts w:cs="David"/>
          <w:sz w:val="26"/>
          <w:szCs w:val="26"/>
        </w:rPr>
      </w:pP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hint="cs"/>
          <w:sz w:val="26"/>
          <w:szCs w:val="26"/>
          <w:rtl/>
        </w:rPr>
        <w:t>נחמן</w:t>
      </w:r>
      <w:r>
        <w:rPr>
          <w:rFonts w:cs="David"/>
          <w:sz w:val="26"/>
          <w:szCs w:val="26"/>
          <w:rtl/>
        </w:rPr>
        <w:t xml:space="preserve"> </w:t>
      </w:r>
      <w:r>
        <w:rPr>
          <w:rFonts w:cs="David" w:hint="cs"/>
          <w:sz w:val="26"/>
          <w:szCs w:val="26"/>
          <w:rtl/>
        </w:rPr>
        <w:t>שי</w:t>
      </w:r>
    </w:p>
    <w:p w:rsidR="00000000" w:rsidRDefault="009A6B0F">
      <w:pPr>
        <w:ind w:left="2880" w:firstLine="720"/>
        <w:rPr>
          <w:rFonts w:cs="David"/>
          <w:sz w:val="26"/>
          <w:szCs w:val="26"/>
        </w:rPr>
      </w:pP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hint="cs"/>
          <w:sz w:val="26"/>
          <w:szCs w:val="26"/>
          <w:rtl/>
        </w:rPr>
        <w:t>אברהם</w:t>
      </w:r>
      <w:r>
        <w:rPr>
          <w:rFonts w:cs="David"/>
          <w:sz w:val="26"/>
          <w:szCs w:val="26"/>
          <w:rtl/>
        </w:rPr>
        <w:t xml:space="preserve"> </w:t>
      </w:r>
      <w:r>
        <w:rPr>
          <w:rFonts w:cs="David" w:hint="cs"/>
          <w:sz w:val="26"/>
          <w:szCs w:val="26"/>
          <w:rtl/>
        </w:rPr>
        <w:t>מיכאלי</w:t>
      </w:r>
    </w:p>
    <w:p w:rsidR="00000000" w:rsidRDefault="009A6B0F">
      <w:pPr>
        <w:ind w:left="2880" w:firstLine="720"/>
        <w:rPr>
          <w:rFonts w:cs="David"/>
          <w:sz w:val="26"/>
          <w:szCs w:val="26"/>
        </w:rPr>
      </w:pP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hint="cs"/>
          <w:sz w:val="26"/>
          <w:szCs w:val="26"/>
          <w:rtl/>
        </w:rPr>
        <w:t>ר</w:t>
      </w:r>
      <w:r>
        <w:rPr>
          <w:rFonts w:cs="David" w:hint="cs"/>
          <w:sz w:val="26"/>
          <w:szCs w:val="26"/>
          <w:rtl/>
        </w:rPr>
        <w:t>וברט</w:t>
      </w:r>
      <w:r>
        <w:rPr>
          <w:rFonts w:cs="David"/>
          <w:sz w:val="26"/>
          <w:szCs w:val="26"/>
          <w:rtl/>
        </w:rPr>
        <w:t xml:space="preserve"> </w:t>
      </w:r>
      <w:r>
        <w:rPr>
          <w:rFonts w:cs="David" w:hint="cs"/>
          <w:sz w:val="26"/>
          <w:szCs w:val="26"/>
          <w:rtl/>
        </w:rPr>
        <w:t>אילטוב</w:t>
      </w:r>
    </w:p>
    <w:p w:rsidR="00000000" w:rsidRDefault="009A6B0F">
      <w:pPr>
        <w:ind w:left="2880" w:firstLine="720"/>
        <w:rPr>
          <w:rFonts w:cs="David"/>
          <w:sz w:val="26"/>
          <w:szCs w:val="26"/>
        </w:rPr>
      </w:pP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hint="cs"/>
          <w:sz w:val="26"/>
          <w:szCs w:val="26"/>
          <w:rtl/>
        </w:rPr>
        <w:t>חיים</w:t>
      </w:r>
      <w:r>
        <w:rPr>
          <w:rFonts w:cs="David"/>
          <w:sz w:val="26"/>
          <w:szCs w:val="26"/>
          <w:rtl/>
        </w:rPr>
        <w:t xml:space="preserve"> </w:t>
      </w:r>
      <w:r>
        <w:rPr>
          <w:rFonts w:cs="David" w:hint="cs"/>
          <w:sz w:val="26"/>
          <w:szCs w:val="26"/>
          <w:rtl/>
        </w:rPr>
        <w:t>אורון</w:t>
      </w:r>
    </w:p>
    <w:p w:rsidR="00000000" w:rsidRDefault="009A6B0F">
      <w:pPr>
        <w:ind w:left="2880" w:firstLine="720"/>
        <w:rPr>
          <w:rFonts w:cs="David"/>
          <w:sz w:val="26"/>
          <w:szCs w:val="26"/>
        </w:rPr>
      </w:pP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hint="cs"/>
          <w:sz w:val="26"/>
          <w:szCs w:val="26"/>
          <w:rtl/>
        </w:rPr>
        <w:t>אריה</w:t>
      </w:r>
      <w:r>
        <w:rPr>
          <w:rFonts w:cs="David"/>
          <w:sz w:val="26"/>
          <w:szCs w:val="26"/>
          <w:rtl/>
        </w:rPr>
        <w:t xml:space="preserve"> </w:t>
      </w:r>
      <w:r>
        <w:rPr>
          <w:rFonts w:cs="David" w:hint="cs"/>
          <w:sz w:val="26"/>
          <w:szCs w:val="26"/>
          <w:rtl/>
        </w:rPr>
        <w:t>ביבי</w:t>
      </w:r>
    </w:p>
    <w:p w:rsidR="00000000" w:rsidRDefault="009A6B0F">
      <w:pPr>
        <w:ind w:left="2880" w:firstLine="720"/>
        <w:rPr>
          <w:rFonts w:cs="David"/>
          <w:sz w:val="26"/>
          <w:szCs w:val="26"/>
        </w:rPr>
      </w:pP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hint="cs"/>
          <w:sz w:val="26"/>
          <w:szCs w:val="26"/>
          <w:rtl/>
        </w:rPr>
        <w:t>יצחק</w:t>
      </w:r>
      <w:r>
        <w:rPr>
          <w:rFonts w:cs="David"/>
          <w:sz w:val="26"/>
          <w:szCs w:val="26"/>
          <w:rtl/>
        </w:rPr>
        <w:t xml:space="preserve">  </w:t>
      </w:r>
      <w:r>
        <w:rPr>
          <w:rFonts w:cs="David" w:hint="cs"/>
          <w:sz w:val="26"/>
          <w:szCs w:val="26"/>
          <w:rtl/>
        </w:rPr>
        <w:t>וקנין</w:t>
      </w:r>
    </w:p>
    <w:p w:rsidR="00000000" w:rsidRDefault="009A6B0F">
      <w:pPr>
        <w:ind w:left="2880" w:firstLine="720"/>
        <w:rPr>
          <w:rFonts w:cs="David"/>
          <w:sz w:val="26"/>
          <w:szCs w:val="26"/>
        </w:rPr>
      </w:pP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hint="cs"/>
          <w:sz w:val="26"/>
          <w:szCs w:val="26"/>
          <w:rtl/>
        </w:rPr>
        <w:t>מיכאל</w:t>
      </w:r>
      <w:r>
        <w:rPr>
          <w:rFonts w:cs="David"/>
          <w:sz w:val="26"/>
          <w:szCs w:val="26"/>
          <w:rtl/>
        </w:rPr>
        <w:t xml:space="preserve"> </w:t>
      </w:r>
      <w:r>
        <w:rPr>
          <w:rFonts w:cs="David" w:hint="cs"/>
          <w:sz w:val="26"/>
          <w:szCs w:val="26"/>
          <w:rtl/>
        </w:rPr>
        <w:t>בן</w:t>
      </w:r>
      <w:r>
        <w:rPr>
          <w:rFonts w:cs="David"/>
          <w:sz w:val="26"/>
          <w:szCs w:val="26"/>
          <w:rtl/>
        </w:rPr>
        <w:t>-</w:t>
      </w:r>
      <w:r>
        <w:rPr>
          <w:rFonts w:cs="David" w:hint="cs"/>
          <w:sz w:val="26"/>
          <w:szCs w:val="26"/>
          <w:rtl/>
        </w:rPr>
        <w:t>ארי</w:t>
      </w:r>
    </w:p>
    <w:p w:rsidR="00000000" w:rsidRDefault="009A6B0F">
      <w:pPr>
        <w:ind w:left="2880" w:firstLine="720"/>
        <w:rPr>
          <w:rFonts w:cs="David"/>
          <w:sz w:val="26"/>
          <w:szCs w:val="26"/>
        </w:rPr>
      </w:pP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hint="cs"/>
          <w:sz w:val="26"/>
          <w:szCs w:val="26"/>
          <w:rtl/>
        </w:rPr>
        <w:t>עפו</w:t>
      </w:r>
      <w:r>
        <w:rPr>
          <w:rFonts w:cs="David"/>
          <w:sz w:val="26"/>
          <w:szCs w:val="26"/>
          <w:rtl/>
        </w:rPr>
        <w:t xml:space="preserve"> </w:t>
      </w:r>
      <w:r>
        <w:rPr>
          <w:rFonts w:cs="David" w:hint="cs"/>
          <w:sz w:val="26"/>
          <w:szCs w:val="26"/>
          <w:rtl/>
        </w:rPr>
        <w:t>אגבאריה</w:t>
      </w:r>
    </w:p>
    <w:p w:rsidR="00000000" w:rsidRDefault="009A6B0F">
      <w:pPr>
        <w:ind w:left="2880" w:firstLine="720"/>
        <w:rPr>
          <w:rFonts w:cs="David"/>
          <w:sz w:val="26"/>
          <w:szCs w:val="26"/>
        </w:rPr>
      </w:pP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hint="cs"/>
          <w:sz w:val="26"/>
          <w:szCs w:val="26"/>
          <w:rtl/>
        </w:rPr>
        <w:t>גאלב</w:t>
      </w:r>
      <w:r>
        <w:rPr>
          <w:rFonts w:cs="David"/>
          <w:sz w:val="26"/>
          <w:szCs w:val="26"/>
          <w:rtl/>
        </w:rPr>
        <w:t xml:space="preserve"> </w:t>
      </w:r>
      <w:r>
        <w:rPr>
          <w:rFonts w:cs="David" w:hint="cs"/>
          <w:sz w:val="26"/>
          <w:szCs w:val="26"/>
          <w:rtl/>
        </w:rPr>
        <w:t>מג</w:t>
      </w:r>
      <w:r>
        <w:rPr>
          <w:rFonts w:cs="David"/>
          <w:sz w:val="26"/>
          <w:szCs w:val="26"/>
          <w:rtl/>
        </w:rPr>
        <w:t>'</w:t>
      </w:r>
      <w:r>
        <w:rPr>
          <w:rFonts w:cs="David" w:hint="cs"/>
          <w:sz w:val="26"/>
          <w:szCs w:val="26"/>
          <w:rtl/>
        </w:rPr>
        <w:t>אדלה</w:t>
      </w:r>
    </w:p>
    <w:p w:rsidR="00000000" w:rsidRDefault="009A6B0F">
      <w:pPr>
        <w:ind w:left="2880" w:firstLine="720"/>
        <w:rPr>
          <w:rFonts w:cs="David"/>
          <w:sz w:val="26"/>
          <w:szCs w:val="26"/>
        </w:rPr>
      </w:pP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hint="cs"/>
          <w:sz w:val="26"/>
          <w:szCs w:val="26"/>
          <w:rtl/>
        </w:rPr>
        <w:t>אילן</w:t>
      </w:r>
      <w:r>
        <w:rPr>
          <w:rFonts w:cs="David"/>
          <w:sz w:val="26"/>
          <w:szCs w:val="26"/>
          <w:rtl/>
        </w:rPr>
        <w:t xml:space="preserve"> </w:t>
      </w:r>
      <w:r>
        <w:rPr>
          <w:rFonts w:cs="David" w:hint="cs"/>
          <w:sz w:val="26"/>
          <w:szCs w:val="26"/>
          <w:rtl/>
        </w:rPr>
        <w:t>גילאון</w:t>
      </w:r>
    </w:p>
    <w:p w:rsidR="00000000" w:rsidRDefault="009A6B0F">
      <w:pPr>
        <w:ind w:left="2880" w:firstLine="720"/>
        <w:rPr>
          <w:rFonts w:cs="David"/>
          <w:sz w:val="26"/>
          <w:szCs w:val="26"/>
        </w:rPr>
      </w:pP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hint="cs"/>
          <w:sz w:val="26"/>
          <w:szCs w:val="26"/>
          <w:rtl/>
        </w:rPr>
        <w:t>דב</w:t>
      </w:r>
      <w:r>
        <w:rPr>
          <w:rFonts w:cs="David"/>
          <w:sz w:val="26"/>
          <w:szCs w:val="26"/>
          <w:rtl/>
        </w:rPr>
        <w:t xml:space="preserve"> </w:t>
      </w:r>
      <w:r>
        <w:rPr>
          <w:rFonts w:cs="David" w:hint="cs"/>
          <w:sz w:val="26"/>
          <w:szCs w:val="26"/>
          <w:rtl/>
        </w:rPr>
        <w:t>חנין</w:t>
      </w:r>
    </w:p>
    <w:p w:rsidR="00000000" w:rsidRDefault="009A6B0F">
      <w:pPr>
        <w:ind w:left="2880" w:firstLine="720"/>
        <w:rPr>
          <w:rFonts w:cs="David"/>
          <w:sz w:val="26"/>
          <w:szCs w:val="26"/>
          <w:rtl/>
        </w:rPr>
      </w:pPr>
      <w:r>
        <w:rPr>
          <w:rFonts w:cs="David"/>
          <w:sz w:val="26"/>
          <w:szCs w:val="26"/>
        </w:rPr>
        <w:tab/>
      </w:r>
      <w:r>
        <w:rPr>
          <w:rFonts w:cs="David"/>
          <w:sz w:val="26"/>
          <w:szCs w:val="26"/>
        </w:rPr>
        <w:tab/>
      </w:r>
      <w:r>
        <w:rPr>
          <w:rFonts w:cs="David"/>
          <w:sz w:val="26"/>
          <w:szCs w:val="26"/>
        </w:rPr>
        <w:tab/>
      </w:r>
      <w:r>
        <w:rPr>
          <w:rFonts w:cs="David"/>
          <w:sz w:val="26"/>
          <w:szCs w:val="26"/>
        </w:rPr>
        <w:tab/>
      </w:r>
      <w:r>
        <w:rPr>
          <w:rFonts w:cs="David"/>
          <w:sz w:val="26"/>
          <w:szCs w:val="26"/>
        </w:rPr>
        <w:tab/>
      </w:r>
      <w:r>
        <w:rPr>
          <w:rFonts w:cs="David" w:hint="cs"/>
          <w:sz w:val="26"/>
          <w:szCs w:val="26"/>
          <w:rtl/>
        </w:rPr>
        <w:t>אלכס</w:t>
      </w:r>
      <w:r>
        <w:rPr>
          <w:rFonts w:cs="David"/>
          <w:sz w:val="26"/>
          <w:szCs w:val="26"/>
          <w:rtl/>
        </w:rPr>
        <w:t xml:space="preserve"> </w:t>
      </w:r>
      <w:r>
        <w:rPr>
          <w:rFonts w:cs="David" w:hint="cs"/>
          <w:sz w:val="26"/>
          <w:szCs w:val="26"/>
          <w:rtl/>
        </w:rPr>
        <w:t>מילר</w:t>
      </w:r>
      <w:bookmarkEnd w:id="3"/>
      <w:r>
        <w:rPr>
          <w:rFonts w:cs="David"/>
          <w:sz w:val="26"/>
          <w:szCs w:val="26"/>
        </w:rPr>
        <w:tab/>
      </w:r>
      <w:r>
        <w:rPr>
          <w:rFonts w:cs="David"/>
          <w:sz w:val="26"/>
          <w:szCs w:val="26"/>
          <w:rtl/>
        </w:rPr>
        <w:tab/>
      </w:r>
      <w:r>
        <w:rPr>
          <w:rFonts w:cs="David"/>
          <w:sz w:val="26"/>
          <w:szCs w:val="26"/>
          <w:rtl/>
        </w:rPr>
        <w:tab/>
      </w:r>
      <w:r>
        <w:rPr>
          <w:rFonts w:cs="David"/>
          <w:sz w:val="26"/>
          <w:szCs w:val="26"/>
          <w:rtl/>
        </w:rPr>
        <w:tab/>
      </w:r>
    </w:p>
    <w:p w:rsidR="00000000" w:rsidRDefault="009A6B0F">
      <w:pPr>
        <w:ind w:left="2919" w:firstLine="720"/>
        <w:rPr>
          <w:rFonts w:cs="David"/>
          <w:sz w:val="26"/>
          <w:szCs w:val="26"/>
          <w:rtl/>
        </w:rPr>
      </w:pPr>
      <w:r>
        <w:rPr>
          <w:noProof/>
          <w:lang w:eastAsia="en-US"/>
        </w:rPr>
        <w:pict>
          <v:line id="_x0000_s1026" style="position:absolute;left:0;text-align:left;z-index:251658240" from=".1pt,5.1pt" to="300.1pt,5.1pt">
            <w10:wrap anchorx="page"/>
          </v:line>
        </w:pict>
      </w:r>
      <w:r>
        <w:rPr>
          <w:rFonts w:cs="David"/>
          <w:sz w:val="26"/>
          <w:szCs w:val="26"/>
          <w:rtl/>
        </w:rPr>
        <w:tab/>
      </w:r>
      <w:r>
        <w:rPr>
          <w:rFonts w:cs="David"/>
          <w:sz w:val="26"/>
          <w:szCs w:val="26"/>
          <w:rtl/>
        </w:rPr>
        <w:tab/>
      </w:r>
      <w:r>
        <w:rPr>
          <w:rFonts w:cs="David"/>
          <w:sz w:val="26"/>
          <w:szCs w:val="26"/>
          <w:rtl/>
        </w:rPr>
        <w:tab/>
      </w:r>
      <w:r>
        <w:rPr>
          <w:rFonts w:cs="David"/>
          <w:sz w:val="26"/>
          <w:szCs w:val="26"/>
          <w:rtl/>
        </w:rPr>
        <w:tab/>
      </w:r>
      <w:r>
        <w:rPr>
          <w:rFonts w:cs="David"/>
          <w:sz w:val="26"/>
          <w:szCs w:val="26"/>
          <w:rtl/>
        </w:rPr>
        <w:tab/>
      </w:r>
      <w:bookmarkStart w:id="4" w:name="LawNum"/>
      <w:r>
        <w:rPr>
          <w:rFonts w:cs="David" w:hint="cs"/>
          <w:sz w:val="26"/>
          <w:szCs w:val="26"/>
          <w:rtl/>
        </w:rPr>
        <w:t>פ</w:t>
      </w:r>
      <w:r>
        <w:rPr>
          <w:rFonts w:cs="David"/>
          <w:sz w:val="26"/>
          <w:szCs w:val="26"/>
          <w:rtl/>
        </w:rPr>
        <w:t>/2668/18</w:t>
      </w:r>
      <w:bookmarkEnd w:id="4"/>
      <w:r>
        <w:rPr>
          <w:rFonts w:cs="David"/>
          <w:sz w:val="26"/>
          <w:szCs w:val="26"/>
          <w:rtl/>
        </w:rPr>
        <w:tab/>
      </w:r>
      <w:r>
        <w:rPr>
          <w:rFonts w:cs="David"/>
          <w:sz w:val="26"/>
          <w:szCs w:val="26"/>
          <w:rtl/>
        </w:rPr>
        <w:tab/>
      </w:r>
      <w:r>
        <w:rPr>
          <w:rFonts w:cs="David"/>
          <w:sz w:val="26"/>
          <w:szCs w:val="26"/>
          <w:rtl/>
        </w:rPr>
        <w:tab/>
      </w:r>
    </w:p>
    <w:p w:rsidR="00000000" w:rsidRDefault="009A6B0F">
      <w:pPr>
        <w:spacing w:before="0" w:line="360" w:lineRule="auto"/>
        <w:ind w:left="2880" w:firstLine="720"/>
        <w:rPr>
          <w:rFonts w:cs="David"/>
          <w:sz w:val="26"/>
          <w:szCs w:val="26"/>
          <w:rtl/>
        </w:rPr>
      </w:pPr>
    </w:p>
    <w:p w:rsidR="00000000" w:rsidRDefault="009A6B0F">
      <w:pPr>
        <w:pStyle w:val="HeadHatzaotHok"/>
        <w:tabs>
          <w:tab w:val="left" w:pos="4071"/>
          <w:tab w:val="center" w:pos="4819"/>
        </w:tabs>
        <w:spacing w:before="0"/>
        <w:rPr>
          <w:rFonts w:cs="David"/>
          <w:sz w:val="26"/>
          <w:rtl/>
        </w:rPr>
      </w:pPr>
      <w:bookmarkStart w:id="5" w:name="Title"/>
      <w:bookmarkStart w:id="6" w:name="_GoBack"/>
      <w:r>
        <w:rPr>
          <w:rFonts w:cs="David"/>
          <w:sz w:val="26"/>
          <w:rtl/>
        </w:rPr>
        <w:t xml:space="preserve">הצעת חוק לביטול ההתיישנות בעבירות מין במשפחה </w:t>
      </w:r>
      <w:bookmarkEnd w:id="6"/>
      <w:r>
        <w:rPr>
          <w:rFonts w:cs="David"/>
          <w:sz w:val="26"/>
          <w:rtl/>
        </w:rPr>
        <w:t xml:space="preserve">(תיקוני </w:t>
      </w:r>
      <w:r>
        <w:rPr>
          <w:rFonts w:cs="David"/>
          <w:sz w:val="26"/>
          <w:rtl/>
        </w:rPr>
        <w:t>חקיקה), התשע"א–2010</w:t>
      </w:r>
      <w:bookmarkEnd w:id="5"/>
    </w:p>
    <w:tbl>
      <w:tblPr>
        <w:bidiVisual/>
        <w:tblW w:w="9637" w:type="dxa"/>
        <w:tblInd w:w="10" w:type="dxa"/>
        <w:tblLayout w:type="fixed"/>
        <w:tblCellMar>
          <w:top w:w="57" w:type="dxa"/>
          <w:left w:w="0" w:type="dxa"/>
          <w:bottom w:w="57" w:type="dxa"/>
          <w:right w:w="0" w:type="dxa"/>
        </w:tblCellMar>
        <w:tblLook w:val="0000" w:firstRow="0" w:lastRow="0" w:firstColumn="0" w:lastColumn="0" w:noHBand="0" w:noVBand="0"/>
      </w:tblPr>
      <w:tblGrid>
        <w:gridCol w:w="1870"/>
        <w:gridCol w:w="624"/>
        <w:gridCol w:w="624"/>
        <w:gridCol w:w="6519"/>
      </w:tblGrid>
      <w:tr w:rsidR="00000000">
        <w:trPr>
          <w:cantSplit/>
        </w:trPr>
        <w:tc>
          <w:tcPr>
            <w:tcW w:w="1870" w:type="dxa"/>
            <w:tcBorders>
              <w:top w:val="nil"/>
              <w:left w:val="nil"/>
              <w:bottom w:val="nil"/>
              <w:right w:val="nil"/>
            </w:tcBorders>
          </w:tcPr>
          <w:p w:rsidR="00000000" w:rsidRDefault="009A6B0F">
            <w:pPr>
              <w:pStyle w:val="TableSideHeading"/>
              <w:keepLines w:val="0"/>
              <w:rPr>
                <w:rFonts w:cs="David"/>
              </w:rPr>
            </w:pPr>
            <w:r>
              <w:rPr>
                <w:rFonts w:cs="David"/>
                <w:sz w:val="26"/>
                <w:rtl/>
              </w:rPr>
              <w:t>תיקון חוק העונשין</w:t>
            </w:r>
          </w:p>
        </w:tc>
        <w:tc>
          <w:tcPr>
            <w:tcW w:w="624" w:type="dxa"/>
            <w:tcBorders>
              <w:top w:val="nil"/>
              <w:left w:val="nil"/>
              <w:bottom w:val="nil"/>
              <w:right w:val="nil"/>
            </w:tcBorders>
          </w:tcPr>
          <w:p w:rsidR="00000000" w:rsidRDefault="009A6B0F">
            <w:pPr>
              <w:pStyle w:val="TableText"/>
              <w:keepLines w:val="0"/>
              <w:rPr>
                <w:rFonts w:cs="David"/>
              </w:rPr>
            </w:pPr>
            <w:r>
              <w:rPr>
                <w:rFonts w:cs="David"/>
                <w:sz w:val="26"/>
                <w:rtl/>
              </w:rPr>
              <w:t>1.</w:t>
            </w:r>
          </w:p>
        </w:tc>
        <w:tc>
          <w:tcPr>
            <w:tcW w:w="7143" w:type="dxa"/>
            <w:gridSpan w:val="2"/>
            <w:tcBorders>
              <w:top w:val="nil"/>
              <w:left w:val="nil"/>
              <w:bottom w:val="nil"/>
              <w:right w:val="nil"/>
            </w:tcBorders>
          </w:tcPr>
          <w:p w:rsidR="00000000" w:rsidRDefault="009A6B0F">
            <w:pPr>
              <w:pStyle w:val="TableBlock"/>
              <w:rPr>
                <w:rFonts w:cs="David"/>
              </w:rPr>
            </w:pPr>
            <w:r>
              <w:rPr>
                <w:rFonts w:cs="David"/>
                <w:sz w:val="26"/>
                <w:rtl/>
              </w:rPr>
              <w:t>בחוק העונשין, התשל"ז–1977</w:t>
            </w:r>
            <w:r>
              <w:rPr>
                <w:rFonts w:cs="David"/>
                <w:sz w:val="18"/>
                <w:szCs w:val="18"/>
                <w:rtl/>
              </w:rPr>
              <w:footnoteReference w:id="2"/>
            </w:r>
            <w:r>
              <w:rPr>
                <w:rFonts w:cs="David"/>
                <w:szCs w:val="20"/>
                <w:rtl/>
              </w:rPr>
              <w:t xml:space="preserve"> </w:t>
            </w:r>
            <w:r>
              <w:rPr>
                <w:rFonts w:cs="David"/>
                <w:sz w:val="26"/>
                <w:rtl/>
              </w:rPr>
              <w:softHyphen/>
              <w:t>–</w:t>
            </w:r>
          </w:p>
        </w:tc>
      </w:tr>
      <w:tr w:rsidR="00000000">
        <w:trPr>
          <w:cantSplit/>
        </w:trPr>
        <w:tc>
          <w:tcPr>
            <w:tcW w:w="1870" w:type="dxa"/>
            <w:tcBorders>
              <w:top w:val="nil"/>
              <w:left w:val="nil"/>
              <w:bottom w:val="nil"/>
              <w:right w:val="nil"/>
            </w:tcBorders>
          </w:tcPr>
          <w:p w:rsidR="00000000" w:rsidRDefault="009A6B0F">
            <w:pPr>
              <w:pStyle w:val="TableSideHeading"/>
              <w:keepLines w:val="0"/>
              <w:rPr>
                <w:rFonts w:cs="David"/>
                <w:sz w:val="26"/>
                <w:rtl/>
              </w:rPr>
            </w:pPr>
          </w:p>
        </w:tc>
        <w:tc>
          <w:tcPr>
            <w:tcW w:w="624" w:type="dxa"/>
            <w:tcBorders>
              <w:top w:val="nil"/>
              <w:left w:val="nil"/>
              <w:bottom w:val="nil"/>
              <w:right w:val="nil"/>
            </w:tcBorders>
          </w:tcPr>
          <w:p w:rsidR="00000000" w:rsidRDefault="009A6B0F">
            <w:pPr>
              <w:pStyle w:val="TableText"/>
              <w:rPr>
                <w:rFonts w:cs="David"/>
                <w:sz w:val="26"/>
                <w:rtl/>
              </w:rPr>
            </w:pPr>
          </w:p>
        </w:tc>
        <w:tc>
          <w:tcPr>
            <w:tcW w:w="7143" w:type="dxa"/>
            <w:gridSpan w:val="2"/>
            <w:tcBorders>
              <w:top w:val="nil"/>
              <w:left w:val="nil"/>
              <w:bottom w:val="nil"/>
              <w:right w:val="nil"/>
            </w:tcBorders>
          </w:tcPr>
          <w:p w:rsidR="00000000" w:rsidRDefault="009A6B0F">
            <w:pPr>
              <w:pStyle w:val="TableBlock"/>
              <w:rPr>
                <w:rFonts w:cs="David"/>
                <w:sz w:val="26"/>
                <w:rtl/>
              </w:rPr>
            </w:pPr>
            <w:r>
              <w:rPr>
                <w:rFonts w:cs="David"/>
                <w:sz w:val="26"/>
                <w:rtl/>
              </w:rPr>
              <w:t>(1)</w:t>
            </w:r>
            <w:r>
              <w:rPr>
                <w:rFonts w:cs="David"/>
                <w:sz w:val="26"/>
                <w:rtl/>
              </w:rPr>
              <w:tab/>
              <w:t xml:space="preserve">בסעיף 351(ה), בהגדרה "בן משפחה" בפסקה (2), בכל מקום, אחרי "גיס או גיסה" יבוא "וילד או ילדה של אחד מאלה"; </w:t>
            </w:r>
          </w:p>
        </w:tc>
      </w:tr>
      <w:tr w:rsidR="00000000">
        <w:trPr>
          <w:cantSplit/>
        </w:trPr>
        <w:tc>
          <w:tcPr>
            <w:tcW w:w="1870" w:type="dxa"/>
            <w:tcBorders>
              <w:top w:val="nil"/>
              <w:left w:val="nil"/>
              <w:bottom w:val="nil"/>
              <w:right w:val="nil"/>
            </w:tcBorders>
          </w:tcPr>
          <w:p w:rsidR="00000000" w:rsidRDefault="009A6B0F">
            <w:pPr>
              <w:pStyle w:val="TableSideHeading"/>
              <w:keepLines w:val="0"/>
              <w:rPr>
                <w:rFonts w:cs="David"/>
                <w:sz w:val="26"/>
                <w:rtl/>
              </w:rPr>
            </w:pPr>
          </w:p>
        </w:tc>
        <w:tc>
          <w:tcPr>
            <w:tcW w:w="624" w:type="dxa"/>
            <w:tcBorders>
              <w:top w:val="nil"/>
              <w:left w:val="nil"/>
              <w:bottom w:val="nil"/>
              <w:right w:val="nil"/>
            </w:tcBorders>
          </w:tcPr>
          <w:p w:rsidR="00000000" w:rsidRDefault="009A6B0F">
            <w:pPr>
              <w:pStyle w:val="TableText"/>
              <w:rPr>
                <w:rFonts w:cs="David"/>
                <w:sz w:val="26"/>
                <w:rtl/>
              </w:rPr>
            </w:pPr>
          </w:p>
        </w:tc>
        <w:tc>
          <w:tcPr>
            <w:tcW w:w="7143" w:type="dxa"/>
            <w:gridSpan w:val="2"/>
            <w:tcBorders>
              <w:top w:val="nil"/>
              <w:left w:val="nil"/>
              <w:bottom w:val="nil"/>
              <w:right w:val="nil"/>
            </w:tcBorders>
          </w:tcPr>
          <w:p w:rsidR="00000000" w:rsidRDefault="009A6B0F">
            <w:pPr>
              <w:pStyle w:val="TableBlock"/>
              <w:rPr>
                <w:rFonts w:cs="David"/>
                <w:sz w:val="26"/>
                <w:rtl/>
              </w:rPr>
            </w:pPr>
            <w:r>
              <w:rPr>
                <w:rFonts w:cs="David"/>
                <w:sz w:val="26"/>
                <w:rtl/>
              </w:rPr>
              <w:t>(2)</w:t>
            </w:r>
            <w:r>
              <w:rPr>
                <w:rFonts w:cs="David"/>
                <w:sz w:val="26"/>
                <w:rtl/>
              </w:rPr>
              <w:tab/>
              <w:t>בסעיף 354 –</w:t>
            </w:r>
          </w:p>
        </w:tc>
      </w:tr>
      <w:tr w:rsidR="00000000">
        <w:trPr>
          <w:cantSplit/>
        </w:trPr>
        <w:tc>
          <w:tcPr>
            <w:tcW w:w="1870" w:type="dxa"/>
            <w:tcBorders>
              <w:top w:val="nil"/>
              <w:left w:val="nil"/>
              <w:bottom w:val="nil"/>
              <w:right w:val="nil"/>
            </w:tcBorders>
          </w:tcPr>
          <w:p w:rsidR="00000000" w:rsidRDefault="009A6B0F">
            <w:pPr>
              <w:pStyle w:val="TableSideHeading"/>
              <w:rPr>
                <w:rFonts w:cs="David"/>
              </w:rPr>
            </w:pPr>
          </w:p>
        </w:tc>
        <w:tc>
          <w:tcPr>
            <w:tcW w:w="624" w:type="dxa"/>
            <w:tcBorders>
              <w:top w:val="nil"/>
              <w:left w:val="nil"/>
              <w:bottom w:val="nil"/>
              <w:right w:val="nil"/>
            </w:tcBorders>
          </w:tcPr>
          <w:p w:rsidR="00000000" w:rsidRDefault="009A6B0F">
            <w:pPr>
              <w:pStyle w:val="TableText"/>
              <w:rPr>
                <w:rFonts w:cs="David"/>
              </w:rPr>
            </w:pPr>
          </w:p>
        </w:tc>
        <w:tc>
          <w:tcPr>
            <w:tcW w:w="624" w:type="dxa"/>
            <w:tcBorders>
              <w:top w:val="nil"/>
              <w:left w:val="nil"/>
              <w:bottom w:val="nil"/>
              <w:right w:val="nil"/>
            </w:tcBorders>
          </w:tcPr>
          <w:p w:rsidR="00000000" w:rsidRDefault="009A6B0F">
            <w:pPr>
              <w:pStyle w:val="TableText"/>
              <w:rPr>
                <w:rFonts w:cs="David"/>
              </w:rPr>
            </w:pPr>
          </w:p>
        </w:tc>
        <w:tc>
          <w:tcPr>
            <w:tcW w:w="6519" w:type="dxa"/>
            <w:tcBorders>
              <w:top w:val="nil"/>
              <w:left w:val="nil"/>
              <w:bottom w:val="nil"/>
              <w:right w:val="nil"/>
            </w:tcBorders>
          </w:tcPr>
          <w:p w:rsidR="00000000" w:rsidRDefault="009A6B0F">
            <w:pPr>
              <w:pStyle w:val="TableBlock"/>
              <w:rPr>
                <w:rFonts w:cs="David"/>
              </w:rPr>
            </w:pPr>
            <w:r>
              <w:rPr>
                <w:rFonts w:cs="David"/>
                <w:sz w:val="26"/>
                <w:rtl/>
              </w:rPr>
              <w:t>(א)</w:t>
            </w:r>
            <w:r>
              <w:rPr>
                <w:rFonts w:cs="David"/>
                <w:sz w:val="26"/>
                <w:rtl/>
              </w:rPr>
              <w:tab/>
              <w:t>בסעיף קטן (א), במ</w:t>
            </w:r>
            <w:r>
              <w:rPr>
                <w:rFonts w:cs="David"/>
                <w:sz w:val="26"/>
                <w:rtl/>
              </w:rPr>
              <w:t>קום "יחל מנין תקופת ההתיישנות ביום שמלאו לו עשרים ושמונה שנים" יבוא "לא תשמע טענת התיישנות";</w:t>
            </w:r>
          </w:p>
        </w:tc>
      </w:tr>
      <w:tr w:rsidR="00000000">
        <w:trPr>
          <w:cantSplit/>
        </w:trPr>
        <w:tc>
          <w:tcPr>
            <w:tcW w:w="1870" w:type="dxa"/>
            <w:tcBorders>
              <w:top w:val="nil"/>
              <w:left w:val="nil"/>
              <w:bottom w:val="nil"/>
              <w:right w:val="nil"/>
            </w:tcBorders>
          </w:tcPr>
          <w:p w:rsidR="00000000" w:rsidRDefault="009A6B0F">
            <w:pPr>
              <w:pStyle w:val="TableSideHeading"/>
              <w:rPr>
                <w:rFonts w:cs="David"/>
              </w:rPr>
            </w:pPr>
          </w:p>
        </w:tc>
        <w:tc>
          <w:tcPr>
            <w:tcW w:w="624" w:type="dxa"/>
            <w:tcBorders>
              <w:top w:val="nil"/>
              <w:left w:val="nil"/>
              <w:bottom w:val="nil"/>
              <w:right w:val="nil"/>
            </w:tcBorders>
          </w:tcPr>
          <w:p w:rsidR="00000000" w:rsidRDefault="009A6B0F">
            <w:pPr>
              <w:pStyle w:val="TableText"/>
              <w:rPr>
                <w:rFonts w:cs="David"/>
              </w:rPr>
            </w:pPr>
          </w:p>
        </w:tc>
        <w:tc>
          <w:tcPr>
            <w:tcW w:w="624" w:type="dxa"/>
            <w:tcBorders>
              <w:top w:val="nil"/>
              <w:left w:val="nil"/>
              <w:bottom w:val="nil"/>
              <w:right w:val="nil"/>
            </w:tcBorders>
          </w:tcPr>
          <w:p w:rsidR="00000000" w:rsidRDefault="009A6B0F">
            <w:pPr>
              <w:pStyle w:val="TableText"/>
              <w:rPr>
                <w:rFonts w:cs="David"/>
              </w:rPr>
            </w:pPr>
          </w:p>
        </w:tc>
        <w:tc>
          <w:tcPr>
            <w:tcW w:w="6519" w:type="dxa"/>
            <w:tcBorders>
              <w:top w:val="nil"/>
              <w:left w:val="nil"/>
              <w:bottom w:val="nil"/>
              <w:right w:val="nil"/>
            </w:tcBorders>
          </w:tcPr>
          <w:p w:rsidR="00000000" w:rsidRDefault="009A6B0F">
            <w:pPr>
              <w:pStyle w:val="TableBlock"/>
              <w:rPr>
                <w:rFonts w:cs="David"/>
                <w:sz w:val="26"/>
                <w:rtl/>
              </w:rPr>
            </w:pPr>
            <w:r>
              <w:rPr>
                <w:rFonts w:cs="David"/>
                <w:sz w:val="26"/>
                <w:rtl/>
              </w:rPr>
              <w:t>(ב)</w:t>
            </w:r>
            <w:r>
              <w:rPr>
                <w:rFonts w:cs="David"/>
                <w:sz w:val="26"/>
                <w:rtl/>
              </w:rPr>
              <w:tab/>
              <w:t>בסעיף קטן (ב), פסקה (3) – תימחק.</w:t>
            </w:r>
          </w:p>
        </w:tc>
      </w:tr>
      <w:tr w:rsidR="00000000">
        <w:trPr>
          <w:cantSplit/>
        </w:trPr>
        <w:tc>
          <w:tcPr>
            <w:tcW w:w="1870" w:type="dxa"/>
            <w:tcBorders>
              <w:top w:val="nil"/>
              <w:left w:val="nil"/>
              <w:bottom w:val="nil"/>
              <w:right w:val="nil"/>
            </w:tcBorders>
          </w:tcPr>
          <w:p w:rsidR="00000000" w:rsidRDefault="009A6B0F">
            <w:pPr>
              <w:pStyle w:val="TableSideHeading"/>
              <w:keepLines w:val="0"/>
              <w:rPr>
                <w:rFonts w:cs="David"/>
              </w:rPr>
            </w:pPr>
            <w:r>
              <w:rPr>
                <w:rFonts w:cs="David"/>
                <w:sz w:val="26"/>
                <w:rtl/>
              </w:rPr>
              <w:lastRenderedPageBreak/>
              <w:t>תיקון חוק סדר הדין הפלילי</w:t>
            </w:r>
          </w:p>
        </w:tc>
        <w:tc>
          <w:tcPr>
            <w:tcW w:w="624" w:type="dxa"/>
            <w:tcBorders>
              <w:top w:val="nil"/>
              <w:left w:val="nil"/>
              <w:bottom w:val="nil"/>
              <w:right w:val="nil"/>
            </w:tcBorders>
          </w:tcPr>
          <w:p w:rsidR="00000000" w:rsidRDefault="009A6B0F">
            <w:pPr>
              <w:pStyle w:val="TableText"/>
              <w:keepLines w:val="0"/>
              <w:rPr>
                <w:rFonts w:cs="David"/>
              </w:rPr>
            </w:pPr>
            <w:r>
              <w:rPr>
                <w:rFonts w:cs="David"/>
                <w:sz w:val="26"/>
                <w:rtl/>
              </w:rPr>
              <w:t>2.</w:t>
            </w:r>
          </w:p>
        </w:tc>
        <w:tc>
          <w:tcPr>
            <w:tcW w:w="7143" w:type="dxa"/>
            <w:gridSpan w:val="2"/>
            <w:tcBorders>
              <w:top w:val="nil"/>
              <w:left w:val="nil"/>
              <w:bottom w:val="nil"/>
              <w:right w:val="nil"/>
            </w:tcBorders>
          </w:tcPr>
          <w:p w:rsidR="00000000" w:rsidRDefault="009A6B0F">
            <w:pPr>
              <w:pStyle w:val="TableBlock"/>
              <w:rPr>
                <w:rFonts w:cs="David"/>
                <w:sz w:val="26"/>
                <w:rtl/>
              </w:rPr>
            </w:pPr>
            <w:r>
              <w:rPr>
                <w:rFonts w:cs="David"/>
                <w:sz w:val="26"/>
                <w:rtl/>
              </w:rPr>
              <w:t>בחוק סדר הדין הפלילי [נוסח משולב], התשמ"ב–1982</w:t>
            </w:r>
            <w:r>
              <w:rPr>
                <w:rStyle w:val="FootnoteReference"/>
                <w:rFonts w:cs="David"/>
                <w:sz w:val="26"/>
                <w:rtl/>
              </w:rPr>
              <w:footnoteReference w:id="3"/>
            </w:r>
            <w:r>
              <w:rPr>
                <w:rFonts w:cs="David"/>
                <w:sz w:val="26"/>
                <w:rtl/>
              </w:rPr>
              <w:t>, בסעיף 9 אחרי סעיף קטן</w:t>
            </w:r>
            <w:r>
              <w:rPr>
                <w:rFonts w:cs="David"/>
                <w:sz w:val="26"/>
                <w:rtl/>
              </w:rPr>
              <w:t xml:space="preserve"> (ב1) יבוא:</w:t>
            </w:r>
          </w:p>
        </w:tc>
      </w:tr>
      <w:tr w:rsidR="00000000">
        <w:trPr>
          <w:cantSplit/>
        </w:trPr>
        <w:tc>
          <w:tcPr>
            <w:tcW w:w="1870" w:type="dxa"/>
            <w:tcBorders>
              <w:top w:val="nil"/>
              <w:left w:val="nil"/>
              <w:bottom w:val="nil"/>
              <w:right w:val="nil"/>
            </w:tcBorders>
          </w:tcPr>
          <w:p w:rsidR="00000000" w:rsidRDefault="009A6B0F">
            <w:pPr>
              <w:pStyle w:val="TableSideHeading"/>
              <w:keepLines w:val="0"/>
              <w:rPr>
                <w:rFonts w:cs="David"/>
              </w:rPr>
            </w:pPr>
          </w:p>
        </w:tc>
        <w:tc>
          <w:tcPr>
            <w:tcW w:w="624" w:type="dxa"/>
            <w:tcBorders>
              <w:top w:val="nil"/>
              <w:left w:val="nil"/>
              <w:bottom w:val="nil"/>
              <w:right w:val="nil"/>
            </w:tcBorders>
          </w:tcPr>
          <w:p w:rsidR="00000000" w:rsidRDefault="009A6B0F">
            <w:pPr>
              <w:pStyle w:val="TableText"/>
              <w:keepLines w:val="0"/>
              <w:rPr>
                <w:rFonts w:cs="David"/>
              </w:rPr>
            </w:pPr>
          </w:p>
        </w:tc>
        <w:tc>
          <w:tcPr>
            <w:tcW w:w="7143" w:type="dxa"/>
            <w:gridSpan w:val="2"/>
            <w:tcBorders>
              <w:top w:val="nil"/>
              <w:left w:val="nil"/>
              <w:bottom w:val="nil"/>
              <w:right w:val="nil"/>
            </w:tcBorders>
          </w:tcPr>
          <w:p w:rsidR="00000000" w:rsidRDefault="009A6B0F">
            <w:pPr>
              <w:pStyle w:val="TableBlock"/>
              <w:rPr>
                <w:rFonts w:cs="David"/>
                <w:sz w:val="26"/>
                <w:rtl/>
              </w:rPr>
            </w:pPr>
            <w:r>
              <w:rPr>
                <w:rFonts w:cs="David"/>
                <w:sz w:val="26"/>
                <w:rtl/>
              </w:rPr>
              <w:t>"(ב2)</w:t>
            </w:r>
            <w:r>
              <w:rPr>
                <w:rFonts w:cs="David"/>
                <w:sz w:val="26"/>
                <w:rtl/>
              </w:rPr>
              <w:tab/>
              <w:t>בעבירות המנויות בסעיף 354(א) לחוק העונשין, התשל"ז–1977 – אין התיישנות."</w:t>
            </w:r>
          </w:p>
        </w:tc>
      </w:tr>
      <w:tr w:rsidR="00000000">
        <w:trPr>
          <w:cantSplit/>
        </w:trPr>
        <w:tc>
          <w:tcPr>
            <w:tcW w:w="1870" w:type="dxa"/>
            <w:tcBorders>
              <w:top w:val="nil"/>
              <w:left w:val="nil"/>
              <w:bottom w:val="nil"/>
              <w:right w:val="nil"/>
            </w:tcBorders>
          </w:tcPr>
          <w:p w:rsidR="00000000" w:rsidRDefault="009A6B0F">
            <w:pPr>
              <w:pStyle w:val="TableSideHeading"/>
              <w:keepLines w:val="0"/>
              <w:rPr>
                <w:rFonts w:cs="David"/>
              </w:rPr>
            </w:pPr>
            <w:r>
              <w:rPr>
                <w:rFonts w:cs="David"/>
                <w:sz w:val="26"/>
                <w:rtl/>
              </w:rPr>
              <w:t>תחולה</w:t>
            </w:r>
          </w:p>
        </w:tc>
        <w:tc>
          <w:tcPr>
            <w:tcW w:w="624" w:type="dxa"/>
            <w:tcBorders>
              <w:top w:val="nil"/>
              <w:left w:val="nil"/>
              <w:bottom w:val="nil"/>
              <w:right w:val="nil"/>
            </w:tcBorders>
          </w:tcPr>
          <w:p w:rsidR="00000000" w:rsidRDefault="009A6B0F">
            <w:pPr>
              <w:pStyle w:val="TableText"/>
              <w:keepLines w:val="0"/>
              <w:rPr>
                <w:rFonts w:cs="David"/>
              </w:rPr>
            </w:pPr>
            <w:r>
              <w:rPr>
                <w:rFonts w:cs="David"/>
                <w:sz w:val="26"/>
                <w:rtl/>
              </w:rPr>
              <w:t>3.</w:t>
            </w:r>
          </w:p>
        </w:tc>
        <w:tc>
          <w:tcPr>
            <w:tcW w:w="7143" w:type="dxa"/>
            <w:gridSpan w:val="2"/>
            <w:tcBorders>
              <w:top w:val="nil"/>
              <w:left w:val="nil"/>
              <w:bottom w:val="nil"/>
              <w:right w:val="nil"/>
            </w:tcBorders>
          </w:tcPr>
          <w:p w:rsidR="00000000" w:rsidRDefault="009A6B0F">
            <w:pPr>
              <w:pStyle w:val="TableBlock"/>
              <w:rPr>
                <w:rFonts w:cs="David"/>
                <w:sz w:val="26"/>
                <w:rtl/>
              </w:rPr>
            </w:pPr>
            <w:r>
              <w:rPr>
                <w:rFonts w:cs="David"/>
                <w:sz w:val="26"/>
                <w:rtl/>
              </w:rPr>
              <w:t xml:space="preserve">הוראות חוק זה יחולו גם על מעשים שנעשו לפני יום תחילתו, אף אם התיישנו לפי הדין שחל ערב תחילתו של חוק זה, ובלבד שהמעשה היה עבירה בעת ביצועו.  </w:t>
            </w:r>
          </w:p>
        </w:tc>
      </w:tr>
    </w:tbl>
    <w:p w:rsidR="00000000" w:rsidRDefault="009A6B0F">
      <w:pPr>
        <w:pStyle w:val="HeadDivreiHesber"/>
        <w:rPr>
          <w:rFonts w:cs="David"/>
          <w:sz w:val="26"/>
          <w:rtl/>
        </w:rPr>
      </w:pPr>
      <w:r>
        <w:rPr>
          <w:rFonts w:cs="David"/>
          <w:sz w:val="26"/>
          <w:rtl/>
        </w:rPr>
        <w:t>דברי הסבר</w:t>
      </w:r>
    </w:p>
    <w:p w:rsidR="00000000" w:rsidRDefault="009A6B0F">
      <w:pPr>
        <w:pStyle w:val="Hesber"/>
        <w:rPr>
          <w:rFonts w:cs="David"/>
          <w:sz w:val="26"/>
          <w:rtl/>
        </w:rPr>
      </w:pPr>
      <w:r>
        <w:rPr>
          <w:rFonts w:cs="David"/>
          <w:sz w:val="26"/>
          <w:rtl/>
        </w:rPr>
        <w:t>ב</w:t>
      </w:r>
      <w:r>
        <w:rPr>
          <w:rFonts w:cs="David"/>
          <w:sz w:val="26"/>
          <w:rtl/>
        </w:rPr>
        <w:t>הצעת החוק זו הכוללת תיקון לחוק העונשין, התשל"ז–1977, ותיקון לחוק סדר הדין הפלילי [נוסח משולב], התשמ"ב–1982, מוצע לבטל את תקופת ההתיישנות בעבירות מין במשפחה שבוצעו בקטינים, ולהותיר את ההחלטה על הגשת כתב אישום בחלוף עשר שנים ויותר מביצוע העבירה לשיקול דעתו ש</w:t>
      </w:r>
      <w:r>
        <w:rPr>
          <w:rFonts w:cs="David"/>
          <w:sz w:val="26"/>
          <w:rtl/>
        </w:rPr>
        <w:t>ל היועץ המשפטי לממשלה, כפי שקובע החוק כיום.</w:t>
      </w:r>
    </w:p>
    <w:p w:rsidR="00000000" w:rsidRDefault="009A6B0F">
      <w:pPr>
        <w:pStyle w:val="Hesber"/>
        <w:rPr>
          <w:rFonts w:cs="David"/>
          <w:sz w:val="26"/>
          <w:rtl/>
        </w:rPr>
      </w:pPr>
      <w:r>
        <w:rPr>
          <w:rFonts w:cs="David"/>
          <w:sz w:val="26"/>
          <w:rtl/>
        </w:rPr>
        <w:t>עבירות של התעללות מינית בקטינים על ידי בן משפחה יוצרות פגיעה אנושה, הנמשכת לרוב כל תקופת חייו של הקורבן ובאה לידי ביטוי בכל תחומי החיים. על פי נתוני מרכזי הסיוע לנפגעי ונפגעות תקיפה מינית הפועלים ברחבי הארץ ומקבל</w:t>
      </w:r>
      <w:r>
        <w:rPr>
          <w:rFonts w:cs="David"/>
          <w:sz w:val="26"/>
          <w:rtl/>
        </w:rPr>
        <w:t xml:space="preserve">ים אלפי פניות בשנה, תקופת ההתיישנות המורחבת שנקבעה אינה מספקת ויש צורך בביטול תקופת ההתיישנות לחלוטין. זאת, הן בשל חומרת העבירה והן בשל טיבה המיוחד שגובר על הראציונלים העומדים בבסיס דיני ההתיישנות. </w:t>
      </w:r>
    </w:p>
    <w:p w:rsidR="00000000" w:rsidRDefault="009A6B0F">
      <w:pPr>
        <w:pStyle w:val="Hesber"/>
        <w:rPr>
          <w:rFonts w:cs="David"/>
          <w:sz w:val="26"/>
          <w:rtl/>
        </w:rPr>
      </w:pPr>
      <w:r>
        <w:rPr>
          <w:rFonts w:cs="David"/>
          <w:sz w:val="26"/>
          <w:rtl/>
        </w:rPr>
        <w:t>הכנסת הכירה בצורך מיוחד זה בעבר, כאשר האריכה את תקופת ההת</w:t>
      </w:r>
      <w:r>
        <w:rPr>
          <w:rFonts w:cs="David"/>
          <w:sz w:val="26"/>
          <w:rtl/>
        </w:rPr>
        <w:t xml:space="preserve">יישנות בעבירות מין במשפחה מעבר לתקופת ההתיישנות הרגילה. התיקון המוצע נועד לבטא את ההכרה של המחוקק בקשיים האינהרנטיים והאובייקטיבים שבפניהם ניצבים הקורבנות בבואם לדווח, על פי רוב בחלוף שנים רבות, על מעשי גילוי עריות שבוצעו בתוך המשפחה. קורבן עבירה של גילוי </w:t>
      </w:r>
      <w:r>
        <w:rPr>
          <w:rFonts w:cs="David"/>
          <w:sz w:val="26"/>
          <w:rtl/>
        </w:rPr>
        <w:t xml:space="preserve">עריות מתמודד עם מנגנון הבשלה מורכב, בטרם יוכל לפנות להגשת תלונה. במקרים רבים הקורבן מצוי במצב של תלות גדולה בבן המשפחה הפוגע והתהליך עלול להימשך עשרות רבות של שנים. </w:t>
      </w:r>
    </w:p>
    <w:p w:rsidR="00000000" w:rsidRDefault="009A6B0F">
      <w:pPr>
        <w:pStyle w:val="Hesber"/>
        <w:rPr>
          <w:rFonts w:cs="David"/>
          <w:sz w:val="26"/>
          <w:rtl/>
        </w:rPr>
      </w:pPr>
      <w:r>
        <w:rPr>
          <w:rFonts w:cs="David"/>
          <w:sz w:val="26"/>
          <w:rtl/>
        </w:rPr>
        <w:t xml:space="preserve">בבסיס ההצעה עומדת התפיסה כי האינטרס הציבורי בהעמדה לדין של בני משפחה שהתעללו מינית בילדים </w:t>
      </w:r>
      <w:r>
        <w:rPr>
          <w:rFonts w:cs="David"/>
          <w:sz w:val="26"/>
          <w:rtl/>
        </w:rPr>
        <w:t>גדול יותר מאשר בעבירות אחרות, משום שקיימת בהן פגיעה בערכים המוגנים ביותר, תוך ניצול פערי הכוחות, האמון והתלות של מערכת היחסים הראשונית והבסיסית ביותר בחייו של כל אדם וזריעת הרס חסר תקנה.</w:t>
      </w:r>
    </w:p>
    <w:p w:rsidR="00000000" w:rsidRDefault="009A6B0F">
      <w:pPr>
        <w:pStyle w:val="Hesber"/>
        <w:rPr>
          <w:rFonts w:cs="David"/>
          <w:sz w:val="26"/>
          <w:rtl/>
        </w:rPr>
      </w:pPr>
      <w:r>
        <w:rPr>
          <w:rFonts w:cs="David"/>
          <w:sz w:val="26"/>
          <w:rtl/>
        </w:rPr>
        <w:t>בספרה של ד"ר לימור עציוני, "גילוי עריות" (תשס"ט) היא מציינת כי במדינו</w:t>
      </w:r>
      <w:r>
        <w:rPr>
          <w:rFonts w:cs="David"/>
          <w:sz w:val="26"/>
          <w:rtl/>
        </w:rPr>
        <w:t>ת שונות בארצות הברית כדוגמת וואיומינג, דרום קרוליינה, מרילנד קנטאקי, אלבאמה וירג'יניה ואחרות, אין התיישנות על עבירות פליליות חמורות כדוגמת גילוי עריות.</w:t>
      </w:r>
    </w:p>
    <w:p w:rsidR="00000000" w:rsidRDefault="009A6B0F">
      <w:pPr>
        <w:pStyle w:val="Hesber"/>
        <w:rPr>
          <w:rFonts w:cs="David"/>
          <w:sz w:val="26"/>
          <w:rtl/>
        </w:rPr>
      </w:pPr>
      <w:r>
        <w:rPr>
          <w:rFonts w:cs="David"/>
          <w:sz w:val="26"/>
          <w:rtl/>
        </w:rPr>
        <w:t xml:space="preserve">עוד מוצע להחיל את התיקון המוצע שעניינו ביטול ההתיישנות בעבירות מין במשפחה – למפרע. בארצות הברית נתנו את </w:t>
      </w:r>
      <w:r>
        <w:rPr>
          <w:rFonts w:cs="David"/>
          <w:sz w:val="26"/>
          <w:rtl/>
        </w:rPr>
        <w:t xml:space="preserve">הדעת לכך ובשנת 2003 מדינת קליפורניה הרחיבה את תקופת ההתיישנות של עבירות מין בילדים וביטלה רטרואקטיבית התיישנות של עבירות מין שבוצעו בקטינים. במקביל חוקק </w:t>
      </w:r>
      <w:r>
        <w:rPr>
          <w:rFonts w:cs="David"/>
          <w:sz w:val="26"/>
          <w:rtl/>
        </w:rPr>
        <w:lastRenderedPageBreak/>
        <w:t>הקונגרס האמריקאי חוק להגנת קטינים, אשר בו נקבעו כלים ותרופות כנגד ניצול של ילדים. חוק זה הרחיב את האחרי</w:t>
      </w:r>
      <w:r>
        <w:rPr>
          <w:rFonts w:cs="David"/>
          <w:sz w:val="26"/>
          <w:rtl/>
        </w:rPr>
        <w:t xml:space="preserve">ות הפלילית במקרים של עבירות שמועד ההתיישנות שלהן פג על ידי ביטול רטרואקטיבי של תקופת ההתיישנות בעבירות מין בקטינים. במקרה </w:t>
      </w:r>
      <w:r>
        <w:rPr>
          <w:rFonts w:cs="David"/>
        </w:rPr>
        <w:t>STOGNER</w:t>
      </w:r>
      <w:r>
        <w:rPr>
          <w:rFonts w:cs="David"/>
          <w:sz w:val="26"/>
          <w:rtl/>
        </w:rPr>
        <w:t xml:space="preserve"> שהגיע לבית המשפט העליון בקליפורניה ודן בשאלת הרטרואקטיביות ועקרון החוקיות קבע השופט קנדי כי ביטולה הרטרואקטיבי של ההתיישנות אי</w:t>
      </w:r>
      <w:r>
        <w:rPr>
          <w:rFonts w:cs="David"/>
          <w:sz w:val="26"/>
          <w:rtl/>
        </w:rPr>
        <w:t>נו בלתי הוגן משום התאמתו הספציפית והמכוונת לטראומה הנלווית לסוג זה של פשע, המתאפיין לעיתים תכופות בדיווח מאוחר. על כן לדידו של השופט קנדי ביטול רטרואקטיבי זה הוא אינטרס המדינה.</w:t>
      </w:r>
    </w:p>
    <w:p w:rsidR="00000000" w:rsidRDefault="009A6B0F">
      <w:pPr>
        <w:pStyle w:val="Hesber"/>
        <w:rPr>
          <w:rFonts w:cs="David"/>
          <w:sz w:val="26"/>
          <w:rtl/>
        </w:rPr>
      </w:pPr>
      <w:r>
        <w:rPr>
          <w:rFonts w:cs="David"/>
          <w:sz w:val="26"/>
          <w:rtl/>
        </w:rPr>
        <w:t>מדינת ניו המפשיר בארצות הברית התמודדה עם בעיה דומה של שינוי תקופת ההתיישנות ובת</w:t>
      </w:r>
      <w:r>
        <w:rPr>
          <w:rFonts w:cs="David"/>
          <w:sz w:val="26"/>
          <w:rtl/>
        </w:rPr>
        <w:t>וך כך פגיעה באיסור על רטרואקטיביות. כך גם בשורה ארוכה של מקרים שונים בעשורים האחרונים בארה"ב שבהם נדונה שאלת הרחבת מועד ההתיישנות של עבירות מין בקטינים. ובאופן עקבי קבעו בתי המשפט שהוראה אשר מרחיבה את מועד ההתיישנות של עבירות מין היא הוראה אשר אינה מפרה את</w:t>
      </w:r>
      <w:r>
        <w:rPr>
          <w:rFonts w:cs="David"/>
          <w:sz w:val="26"/>
          <w:rtl/>
        </w:rPr>
        <w:t xml:space="preserve"> עקרון החוקיות. כמו כן מחסום אי הרטרואקטיביות הקיים הינו מחסום שמפורש בצמצום בארה"ב (המידע לקוח מספרה של לימור עציוני, "גילוי עריות"). </w:t>
      </w:r>
    </w:p>
    <w:p w:rsidR="00000000" w:rsidRDefault="009A6B0F">
      <w:pPr>
        <w:pStyle w:val="Hesber"/>
        <w:rPr>
          <w:rFonts w:cs="David"/>
          <w:sz w:val="26"/>
          <w:rtl/>
        </w:rPr>
      </w:pPr>
      <w:r>
        <w:rPr>
          <w:rFonts w:cs="David"/>
          <w:sz w:val="26"/>
          <w:rtl/>
        </w:rPr>
        <w:t xml:space="preserve">נוסף על כך מוצע להרחיב את ההגדרה בחוק לבן משפחה, בעבירות מין במשפחה, כך שתכלול גם את ילדיהם של הדודים והגיסים של הילדים </w:t>
      </w:r>
      <w:r>
        <w:rPr>
          <w:rFonts w:cs="David"/>
          <w:sz w:val="26"/>
          <w:rtl/>
        </w:rPr>
        <w:t xml:space="preserve">כיוון שגם הם עשויים להיות אמונים על הגידול והטיפול בילדים ולכן פגיעה על ידם הוא חמורה ומזיקה לא פחות מפגיעה על ידי אחד מבני המשפחה שמנויים כבר היום בהגדרת העבירה. </w:t>
      </w:r>
    </w:p>
    <w:p w:rsidR="00000000" w:rsidRDefault="009A6B0F">
      <w:pPr>
        <w:rPr>
          <w:rFonts w:cs="Hadasa Roso SL"/>
          <w:rtl/>
        </w:rPr>
      </w:pPr>
    </w:p>
    <w:p w:rsidR="00000000" w:rsidRDefault="009A6B0F">
      <w:pPr>
        <w:rPr>
          <w:rFonts w:cs="Hadasa Roso SL"/>
          <w:rtl/>
        </w:rPr>
      </w:pPr>
    </w:p>
    <w:p w:rsidR="00000000" w:rsidRDefault="009A6B0F">
      <w:pPr>
        <w:rPr>
          <w:rFonts w:cs="Hadasa Roso SL"/>
          <w:rtl/>
        </w:rPr>
      </w:pPr>
    </w:p>
    <w:p w:rsidR="00000000" w:rsidRDefault="009A6B0F">
      <w:pPr>
        <w:rPr>
          <w:rFonts w:cs="Hadasa Roso SL"/>
          <w:rtl/>
        </w:rPr>
      </w:pPr>
    </w:p>
    <w:p w:rsidR="00000000" w:rsidRDefault="009A6B0F">
      <w:pPr>
        <w:rPr>
          <w:rFonts w:cs="Hadasa Roso SL"/>
          <w:rtl/>
        </w:rPr>
      </w:pPr>
    </w:p>
    <w:p w:rsidR="00000000" w:rsidRDefault="009A6B0F">
      <w:pPr>
        <w:rPr>
          <w:rFonts w:cs="Hadasa Roso SL"/>
          <w:rtl/>
        </w:rPr>
      </w:pPr>
    </w:p>
    <w:p w:rsidR="00000000" w:rsidRDefault="009A6B0F">
      <w:pPr>
        <w:ind w:left="340" w:firstLine="0"/>
        <w:rPr>
          <w:rFonts w:ascii="Arial" w:eastAsia="Arial Unicode MS" w:hAnsi="Arial" w:cs="David"/>
          <w:snapToGrid w:val="0"/>
          <w:spacing w:val="0"/>
          <w:sz w:val="26"/>
          <w:szCs w:val="26"/>
          <w:rtl/>
        </w:rPr>
      </w:pPr>
      <w:r>
        <w:rPr>
          <w:rFonts w:ascii="Arial" w:eastAsia="Arial Unicode MS" w:hAnsi="Arial" w:cs="David"/>
          <w:snapToGrid w:val="0"/>
          <w:spacing w:val="0"/>
          <w:sz w:val="26"/>
          <w:szCs w:val="26"/>
          <w:rtl/>
        </w:rPr>
        <w:t>---------------------------------</w:t>
      </w:r>
    </w:p>
    <w:p w:rsidR="00000000" w:rsidRDefault="009A6B0F">
      <w:pPr>
        <w:ind w:left="340" w:firstLine="0"/>
        <w:rPr>
          <w:rFonts w:ascii="Arial" w:eastAsia="Arial Unicode MS" w:hAnsi="Arial" w:cs="David"/>
          <w:snapToGrid w:val="0"/>
          <w:spacing w:val="0"/>
          <w:sz w:val="26"/>
          <w:szCs w:val="26"/>
          <w:rtl/>
        </w:rPr>
      </w:pPr>
      <w:r>
        <w:rPr>
          <w:rFonts w:ascii="Arial" w:eastAsia="Arial Unicode MS" w:hAnsi="Arial" w:cs="David" w:hint="eastAsia"/>
          <w:snapToGrid w:val="0"/>
          <w:spacing w:val="0"/>
          <w:sz w:val="26"/>
          <w:szCs w:val="26"/>
          <w:rtl/>
        </w:rPr>
        <w:t>הוגשה</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ליו</w:t>
      </w:r>
      <w:r>
        <w:rPr>
          <w:rFonts w:ascii="Arial" w:eastAsia="Arial Unicode MS" w:hAnsi="Arial" w:cs="David"/>
          <w:snapToGrid w:val="0"/>
          <w:spacing w:val="0"/>
          <w:sz w:val="26"/>
          <w:szCs w:val="26"/>
          <w:rtl/>
        </w:rPr>
        <w:t>"</w:t>
      </w:r>
      <w:r>
        <w:rPr>
          <w:rFonts w:ascii="Arial" w:eastAsia="Arial Unicode MS" w:hAnsi="Arial" w:cs="David" w:hint="eastAsia"/>
          <w:snapToGrid w:val="0"/>
          <w:spacing w:val="0"/>
          <w:sz w:val="26"/>
          <w:szCs w:val="26"/>
          <w:rtl/>
        </w:rPr>
        <w:t>ר</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הכנסת</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והסגנים</w:t>
      </w:r>
    </w:p>
    <w:p w:rsidR="00000000" w:rsidRDefault="009A6B0F">
      <w:pPr>
        <w:ind w:left="340" w:firstLine="0"/>
        <w:rPr>
          <w:rFonts w:ascii="Arial" w:eastAsia="Arial Unicode MS" w:hAnsi="Arial" w:cs="David"/>
          <w:snapToGrid w:val="0"/>
          <w:spacing w:val="0"/>
          <w:sz w:val="26"/>
          <w:szCs w:val="26"/>
          <w:rtl/>
        </w:rPr>
      </w:pPr>
      <w:r>
        <w:rPr>
          <w:rFonts w:ascii="Arial" w:eastAsia="Arial Unicode MS" w:hAnsi="Arial" w:cs="David" w:hint="eastAsia"/>
          <w:snapToGrid w:val="0"/>
          <w:spacing w:val="0"/>
          <w:sz w:val="26"/>
          <w:szCs w:val="26"/>
          <w:rtl/>
        </w:rPr>
        <w:t>והונחה</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על</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שולחן</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הכנסת</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ביום</w:t>
      </w:r>
    </w:p>
    <w:p w:rsidR="00000000" w:rsidRDefault="009A6B0F">
      <w:pPr>
        <w:ind w:left="340" w:firstLine="0"/>
        <w:rPr>
          <w:rFonts w:ascii="Arial" w:eastAsia="Arial Unicode MS" w:hAnsi="Arial" w:cs="David"/>
          <w:snapToGrid w:val="0"/>
          <w:spacing w:val="0"/>
          <w:sz w:val="26"/>
          <w:szCs w:val="26"/>
          <w:rtl/>
        </w:rPr>
      </w:pPr>
      <w:r>
        <w:rPr>
          <w:rFonts w:ascii="Arial" w:eastAsia="Arial Unicode MS" w:hAnsi="Arial" w:cs="David" w:hint="eastAsia"/>
          <w:snapToGrid w:val="0"/>
          <w:spacing w:val="0"/>
          <w:sz w:val="26"/>
          <w:szCs w:val="26"/>
          <w:rtl/>
        </w:rPr>
        <w:t>י</w:t>
      </w:r>
      <w:r>
        <w:rPr>
          <w:rFonts w:ascii="Arial" w:eastAsia="Arial Unicode MS" w:hAnsi="Arial" w:cs="David"/>
          <w:snapToGrid w:val="0"/>
          <w:spacing w:val="0"/>
          <w:sz w:val="26"/>
          <w:szCs w:val="26"/>
          <w:rtl/>
        </w:rPr>
        <w:t>"</w:t>
      </w:r>
      <w:r>
        <w:rPr>
          <w:rFonts w:ascii="Arial" w:eastAsia="Arial Unicode MS" w:hAnsi="Arial" w:cs="David" w:hint="eastAsia"/>
          <w:snapToGrid w:val="0"/>
          <w:spacing w:val="0"/>
          <w:sz w:val="26"/>
          <w:szCs w:val="26"/>
          <w:rtl/>
        </w:rPr>
        <w:t>ז</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בחשוון</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התשע</w:t>
      </w:r>
      <w:r>
        <w:rPr>
          <w:rFonts w:ascii="Arial" w:eastAsia="Arial Unicode MS" w:hAnsi="Arial" w:cs="David"/>
          <w:snapToGrid w:val="0"/>
          <w:spacing w:val="0"/>
          <w:sz w:val="26"/>
          <w:szCs w:val="26"/>
          <w:rtl/>
        </w:rPr>
        <w:t>"</w:t>
      </w:r>
      <w:r>
        <w:rPr>
          <w:rFonts w:ascii="Arial" w:eastAsia="Arial Unicode MS" w:hAnsi="Arial" w:cs="David" w:hint="eastAsia"/>
          <w:snapToGrid w:val="0"/>
          <w:spacing w:val="0"/>
          <w:sz w:val="26"/>
          <w:szCs w:val="26"/>
          <w:rtl/>
        </w:rPr>
        <w:t>א</w:t>
      </w:r>
      <w:r>
        <w:rPr>
          <w:rFonts w:ascii="Arial" w:eastAsia="Arial Unicode MS" w:hAnsi="Arial" w:cs="David"/>
          <w:snapToGrid w:val="0"/>
          <w:spacing w:val="0"/>
          <w:sz w:val="26"/>
          <w:szCs w:val="26"/>
          <w:rtl/>
        </w:rPr>
        <w:t xml:space="preserve"> – 25.10.10</w:t>
      </w:r>
    </w:p>
    <w:sectPr w:rsidR="00000000">
      <w:footerReference w:type="default" r:id="rId7"/>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A6B0F">
      <w:pPr>
        <w:rPr>
          <w:rFonts w:cs="Hadasa Roso SL"/>
        </w:rPr>
      </w:pPr>
      <w:r>
        <w:rPr>
          <w:rFonts w:cs="Hadasa Roso SL"/>
        </w:rPr>
        <w:separator/>
      </w:r>
    </w:p>
  </w:endnote>
  <w:endnote w:type="continuationSeparator" w:id="0">
    <w:p w:rsidR="00000000" w:rsidRDefault="009A6B0F">
      <w:pPr>
        <w:rPr>
          <w:rFonts w:cs="Hadasa Roso SL"/>
        </w:rPr>
      </w:pPr>
      <w:r>
        <w:rPr>
          <w:rFonts w:cs="Hadasa Roso S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MS ??"/>
    <w:panose1 w:val="020206090402050803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A6B0F">
    <w:pPr>
      <w:pStyle w:val="Footer"/>
      <w:framePr w:wrap="auto" w:vAnchor="text" w:hAnchor="text" w:xAlign="center" w:y="1"/>
      <w:rPr>
        <w:rStyle w:val="PageNumber"/>
        <w:rFonts w:cs="Hadasa Roso SL"/>
      </w:rPr>
    </w:pPr>
    <w:r>
      <w:rPr>
        <w:rStyle w:val="PageNumber"/>
        <w:rFonts w:cs="Hadasa Roso SL"/>
      </w:rPr>
      <w:fldChar w:fldCharType="begin"/>
    </w:r>
    <w:r>
      <w:rPr>
        <w:rStyle w:val="PageNumber"/>
        <w:rFonts w:cs="Hadasa Roso SL"/>
      </w:rPr>
      <w:instrText xml:space="preserve">PAGE  </w:instrText>
    </w:r>
    <w:r>
      <w:rPr>
        <w:rStyle w:val="PageNumber"/>
        <w:rFonts w:cs="Hadasa Roso SL"/>
      </w:rPr>
      <w:fldChar w:fldCharType="separate"/>
    </w:r>
    <w:r>
      <w:rPr>
        <w:rStyle w:val="PageNumber"/>
        <w:noProof/>
        <w:rtl/>
      </w:rPr>
      <w:t>3</w:t>
    </w:r>
    <w:r>
      <w:rPr>
        <w:rStyle w:val="PageNumber"/>
        <w:rFonts w:cs="Hadasa Roso SL"/>
      </w:rPr>
      <w:fldChar w:fldCharType="end"/>
    </w:r>
  </w:p>
  <w:p w:rsidR="00000000" w:rsidRDefault="009A6B0F">
    <w:pPr>
      <w:pStyle w:val="Footer"/>
      <w:rPr>
        <w:rFonts w:cs="Hadasa Roso S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A6B0F">
      <w:pPr>
        <w:rPr>
          <w:rFonts w:cs="Hadasa Roso SL"/>
        </w:rPr>
      </w:pPr>
      <w:r>
        <w:rPr>
          <w:rFonts w:cs="Hadasa Roso SL"/>
        </w:rPr>
        <w:separator/>
      </w:r>
    </w:p>
  </w:footnote>
  <w:footnote w:type="continuationSeparator" w:id="0">
    <w:p w:rsidR="00000000" w:rsidRDefault="009A6B0F">
      <w:pPr>
        <w:rPr>
          <w:rFonts w:cs="Hadasa Roso SL"/>
        </w:rPr>
      </w:pPr>
      <w:r>
        <w:rPr>
          <w:rFonts w:cs="Hadasa Roso SL"/>
        </w:rPr>
        <w:continuationSeparator/>
      </w:r>
    </w:p>
  </w:footnote>
  <w:footnote w:type="continuationNotice" w:id="1">
    <w:p w:rsidR="00000000" w:rsidRDefault="009A6B0F">
      <w:pPr>
        <w:rPr>
          <w:rFonts w:cs="Hadasa Roso SL"/>
        </w:rPr>
      </w:pPr>
    </w:p>
  </w:footnote>
  <w:footnote w:id="2">
    <w:p w:rsidR="00000000" w:rsidRDefault="009A6B0F">
      <w:pPr>
        <w:pStyle w:val="FootnoteText"/>
      </w:pPr>
      <w:r>
        <w:rPr>
          <w:rStyle w:val="FootnoteReference"/>
          <w:rFonts w:cs="David"/>
        </w:rPr>
        <w:footnoteRef/>
      </w:r>
      <w:r>
        <w:rPr>
          <w:rFonts w:cs="David"/>
          <w:sz w:val="20"/>
          <w:rtl/>
        </w:rPr>
        <w:t xml:space="preserve"> ס"ח התשל"ז, עמ' 226.</w:t>
      </w:r>
    </w:p>
  </w:footnote>
  <w:footnote w:id="3">
    <w:p w:rsidR="00000000" w:rsidRDefault="009A6B0F">
      <w:pPr>
        <w:pStyle w:val="FootnoteText"/>
      </w:pPr>
      <w:r>
        <w:rPr>
          <w:rStyle w:val="FootnoteReference"/>
          <w:rFonts w:cs="David"/>
        </w:rPr>
        <w:footnoteRef/>
      </w:r>
      <w:r>
        <w:rPr>
          <w:rFonts w:cs="David"/>
          <w:sz w:val="20"/>
          <w:rtl/>
        </w:rPr>
        <w:t xml:space="preserve"> ס"ח התשמ"ב, עמ'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riginalName" w:val="tmp370469lsCopyOriginal.doc"/>
    <w:docVar w:name="StartMode" w:val="3"/>
  </w:docVars>
  <w:rsids>
    <w:rsidRoot w:val="009A6B0F"/>
    <w:rsid w:val="009A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54E813BD-E0FD-46FD-B676-21C1FD70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MS Mincho"/>
      <w:color w:val="000000"/>
      <w:spacing w:val="1"/>
      <w:sz w:val="17"/>
      <w:szCs w:val="17"/>
      <w:lang w:eastAsia="ja-JP"/>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bidi/>
      <w:adjustRightInd w:val="0"/>
      <w:snapToGrid w:val="0"/>
      <w:spacing w:after="0" w:line="360" w:lineRule="auto"/>
      <w:textAlignment w:val="center"/>
    </w:pPr>
    <w:rPr>
      <w:rFonts w:ascii="Arial" w:eastAsia="Arial Unicode MS" w:hAnsi="Arial" w:cs="Arial Unicode MS"/>
      <w:color w:val="000000"/>
      <w:sz w:val="20"/>
      <w:szCs w:val="26"/>
      <w:lang w:eastAsia="ja-JP"/>
    </w:rPr>
  </w:style>
  <w:style w:type="paragraph" w:customStyle="1" w:styleId="Cover1-Reshumot">
    <w:name w:val="Cover 1-Reshumot"/>
    <w:basedOn w:val="Noparagraphstyle"/>
    <w:uiPriority w:val="99"/>
    <w:pPr>
      <w:tabs>
        <w:tab w:val="left" w:pos="1191"/>
        <w:tab w:val="left" w:pos="1587"/>
      </w:tabs>
      <w:spacing w:before="240" w:after="240" w:line="480" w:lineRule="auto"/>
      <w:jc w:val="center"/>
    </w:pPr>
  </w:style>
  <w:style w:type="paragraph" w:customStyle="1" w:styleId="Cover2-HatzaotHok">
    <w:name w:val="Cover 2-HatzaotHok"/>
    <w:basedOn w:val="Cover1-Reshumot"/>
    <w:uiPriority w:val="99"/>
    <w:rPr>
      <w:sz w:val="36"/>
      <w:szCs w:val="52"/>
    </w:rPr>
  </w:style>
  <w:style w:type="paragraph" w:customStyle="1" w:styleId="Cover3-Haknesset">
    <w:name w:val="Cover 3-Haknesset"/>
    <w:basedOn w:val="Cover1-Reshumot"/>
    <w:uiPriority w:val="99"/>
    <w:rPr>
      <w:b/>
      <w:bCs/>
      <w:spacing w:val="60"/>
    </w:rPr>
  </w:style>
  <w:style w:type="paragraph" w:customStyle="1" w:styleId="Cover4-Date">
    <w:name w:val="Cover 4-Date"/>
    <w:basedOn w:val="Noparagraphstyle"/>
    <w:uiPriority w:val="99"/>
    <w:pPr>
      <w:pBdr>
        <w:bottom w:val="single" w:sz="4" w:space="0" w:color="auto"/>
      </w:pBdr>
      <w:tabs>
        <w:tab w:val="center" w:pos="4820"/>
        <w:tab w:val="right" w:pos="9639"/>
      </w:tabs>
      <w:spacing w:before="240" w:after="240"/>
    </w:pPr>
  </w:style>
  <w:style w:type="paragraph" w:customStyle="1" w:styleId="TOC">
    <w:name w:val="TOC"/>
    <w:basedOn w:val="Noparagraphstyle"/>
    <w:uiPriority w:val="99"/>
    <w:pPr>
      <w:tabs>
        <w:tab w:val="left" w:leader="dot" w:pos="8789"/>
      </w:tabs>
      <w:spacing w:before="120"/>
      <w:ind w:left="284" w:right="284"/>
    </w:pPr>
  </w:style>
  <w:style w:type="paragraph" w:customStyle="1" w:styleId="TOCpg">
    <w:name w:val="TOC pg"/>
    <w:basedOn w:val="TOC"/>
    <w:uiPriority w:val="99"/>
    <w:pPr>
      <w:spacing w:after="120"/>
      <w:ind w:right="567"/>
      <w:jc w:val="right"/>
    </w:pPr>
  </w:style>
  <w:style w:type="paragraph" w:customStyle="1" w:styleId="HeadMitparsemetBaze">
    <w:name w:val="Head MitparsemetBaze"/>
    <w:basedOn w:val="Noparagraphstyle"/>
    <w:uiPriority w:val="99"/>
    <w:pPr>
      <w:keepNext/>
      <w:keepLines/>
      <w:pageBreakBefore/>
      <w:spacing w:before="480"/>
      <w:jc w:val="both"/>
    </w:pPr>
    <w:rPr>
      <w:b/>
      <w:bCs/>
    </w:rPr>
  </w:style>
  <w:style w:type="paragraph" w:customStyle="1" w:styleId="HeadHatzaotHok">
    <w:name w:val="Head HatzaotHok"/>
    <w:basedOn w:val="Noparagraphstyle"/>
    <w:uiPriority w:val="99"/>
    <w:pPr>
      <w:keepNext/>
      <w:keepLines/>
      <w:spacing w:before="240"/>
      <w:jc w:val="center"/>
    </w:pPr>
    <w:rPr>
      <w:b/>
      <w:bCs/>
    </w:rPr>
  </w:style>
  <w:style w:type="paragraph" w:customStyle="1" w:styleId="HeadHatzaotHok4Futer">
    <w:name w:val="Head HatzaotHok4Futer"/>
    <w:basedOn w:val="HeadHatzaotHok"/>
    <w:uiPriority w:val="99"/>
    <w:pPr>
      <w:spacing w:before="120" w:after="120"/>
    </w:pPr>
    <w:rPr>
      <w:color w:val="FF0000"/>
      <w:w w:val="80"/>
    </w:rPr>
  </w:style>
  <w:style w:type="paragraph" w:styleId="EndnoteText">
    <w:name w:val="endnote text"/>
    <w:basedOn w:val="Ragil"/>
    <w:link w:val="EndnoteTextChar"/>
    <w:uiPriority w:val="99"/>
    <w:pPr>
      <w:ind w:left="227" w:hanging="227"/>
    </w:pPr>
    <w:rPr>
      <w:sz w:val="14"/>
      <w:szCs w:val="22"/>
    </w:rPr>
  </w:style>
  <w:style w:type="character" w:customStyle="1" w:styleId="EndnoteTextChar">
    <w:name w:val="Endnote Text Char"/>
    <w:basedOn w:val="DefaultParagraphFont"/>
    <w:link w:val="EndnoteText"/>
    <w:uiPriority w:val="99"/>
    <w:semiHidden/>
    <w:rPr>
      <w:rFonts w:ascii="Hadasa Roso SL" w:eastAsia="MS Mincho" w:hAnsi="Hadasa Roso SL" w:cs="MS Mincho"/>
      <w:color w:val="000000"/>
      <w:spacing w:val="1"/>
      <w:sz w:val="20"/>
      <w:szCs w:val="20"/>
      <w:lang w:eastAsia="ja-JP"/>
    </w:rPr>
  </w:style>
  <w:style w:type="paragraph" w:customStyle="1" w:styleId="TableText">
    <w:name w:val="Table Text"/>
    <w:basedOn w:val="Ragil"/>
    <w:uiPriority w:val="99"/>
    <w:pPr>
      <w:keepLines/>
      <w:tabs>
        <w:tab w:val="left" w:pos="624"/>
        <w:tab w:val="left" w:pos="1247"/>
      </w:tabs>
      <w:ind w:right="57" w:firstLine="0"/>
    </w:pPr>
  </w:style>
  <w:style w:type="paragraph" w:customStyle="1" w:styleId="TableSideHeading">
    <w:name w:val="Table SideHeading"/>
    <w:basedOn w:val="TableText"/>
    <w:uiPriority w:val="99"/>
  </w:style>
  <w:style w:type="paragraph" w:customStyle="1" w:styleId="TableBlock">
    <w:name w:val="Table Block"/>
    <w:basedOn w:val="TableText"/>
    <w:uiPriority w:val="99"/>
    <w:pPr>
      <w:ind w:right="0"/>
      <w:jc w:val="both"/>
    </w:pPr>
  </w:style>
  <w:style w:type="paragraph" w:customStyle="1" w:styleId="TableHead">
    <w:name w:val="Table Head"/>
    <w:basedOn w:val="TableText"/>
    <w:uiPriority w:val="99"/>
    <w:pPr>
      <w:ind w:right="0"/>
      <w:jc w:val="center"/>
    </w:pPr>
    <w:rPr>
      <w:b/>
      <w:bCs/>
    </w:rPr>
  </w:style>
  <w:style w:type="paragraph" w:customStyle="1" w:styleId="TableText2">
    <w:name w:val="Table Text2"/>
    <w:basedOn w:val="TableText"/>
    <w:uiPriority w:val="99"/>
  </w:style>
  <w:style w:type="paragraph" w:customStyle="1" w:styleId="TableInnerSideHeading">
    <w:name w:val="Table InnerSideHeading"/>
    <w:basedOn w:val="TableSideHeading"/>
    <w:uiPriority w:val="99"/>
  </w:style>
  <w:style w:type="paragraph" w:customStyle="1" w:styleId="Hesber">
    <w:name w:val="Hesber"/>
    <w:basedOn w:val="Ragil"/>
    <w:uiPriority w:val="99"/>
    <w:pPr>
      <w:jc w:val="both"/>
    </w:pPr>
  </w:style>
  <w:style w:type="paragraph" w:styleId="FootnoteText">
    <w:name w:val="footnote text"/>
    <w:basedOn w:val="Ragil"/>
    <w:link w:val="FootnoteTextChar"/>
    <w:autoRedefine/>
    <w:uiPriority w:val="99"/>
    <w:pPr>
      <w:spacing w:line="240" w:lineRule="auto"/>
      <w:ind w:left="227" w:hanging="227"/>
    </w:pPr>
    <w:rPr>
      <w:sz w:val="14"/>
      <w:szCs w:val="20"/>
    </w:rPr>
  </w:style>
  <w:style w:type="character" w:customStyle="1" w:styleId="FootnoteTextChar">
    <w:name w:val="Footnote Text Char"/>
    <w:basedOn w:val="DefaultParagraphFont"/>
    <w:link w:val="FootnoteText"/>
    <w:uiPriority w:val="99"/>
    <w:semiHidden/>
    <w:rPr>
      <w:rFonts w:ascii="Hadasa Roso SL" w:eastAsia="MS Mincho" w:hAnsi="Hadasa Roso SL" w:cs="MS Mincho"/>
      <w:color w:val="000000"/>
      <w:spacing w:val="1"/>
      <w:sz w:val="20"/>
      <w:szCs w:val="20"/>
      <w:lang w:eastAsia="ja-JP"/>
    </w:rPr>
  </w:style>
  <w:style w:type="character" w:styleId="FootnoteReference">
    <w:name w:val="footnote reference"/>
    <w:basedOn w:val="DefaultParagraphFont"/>
    <w:uiPriority w:val="99"/>
    <w:rPr>
      <w:rFonts w:cs="Times New Roman"/>
      <w:vertAlign w:val="superscript"/>
    </w:rPr>
  </w:style>
  <w:style w:type="paragraph" w:customStyle="1" w:styleId="HesberHeading">
    <w:name w:val="Hesber Heading"/>
    <w:basedOn w:val="Hesber"/>
    <w:uiPriority w:val="99"/>
    <w:pPr>
      <w:keepNext/>
      <w:keepLines/>
      <w:spacing w:before="240"/>
      <w:ind w:firstLine="0"/>
    </w:pPr>
    <w:rPr>
      <w:b/>
      <w:bCs/>
    </w:rPr>
  </w:style>
  <w:style w:type="paragraph" w:customStyle="1" w:styleId="HesberWriters">
    <w:name w:val="Hesber Writers"/>
    <w:basedOn w:val="Hesber"/>
    <w:uiPriority w:val="99"/>
    <w:pPr>
      <w:spacing w:before="120" w:after="6000"/>
      <w:ind w:left="1418" w:firstLine="0"/>
      <w:jc w:val="right"/>
    </w:pPr>
    <w:rPr>
      <w:b/>
      <w:bCs/>
    </w:rPr>
  </w:style>
  <w:style w:type="paragraph" w:customStyle="1" w:styleId="Hesber1st">
    <w:name w:val="Hesber 1st"/>
    <w:basedOn w:val="Hesber"/>
    <w:uiPriority w:val="99"/>
    <w:pPr>
      <w:tabs>
        <w:tab w:val="left" w:pos="680"/>
        <w:tab w:val="left" w:pos="1020"/>
      </w:tabs>
      <w:ind w:firstLine="0"/>
    </w:pPr>
  </w:style>
  <w:style w:type="character" w:styleId="EndnoteReference">
    <w:name w:val="endnote reference"/>
    <w:basedOn w:val="DefaultParagraphFont"/>
    <w:uiPriority w:val="99"/>
    <w:rPr>
      <w:rFonts w:cs="Times New Roman"/>
      <w:vertAlign w:val="superscript"/>
    </w:rPr>
  </w:style>
  <w:style w:type="paragraph" w:customStyle="1" w:styleId="TableBlockOutdent">
    <w:name w:val="Table BlockOutdent"/>
    <w:basedOn w:val="TableBlock"/>
    <w:uiPriority w:val="99"/>
    <w:pPr>
      <w:ind w:left="624" w:hanging="624"/>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Hadasa Roso SL" w:eastAsia="MS Mincho" w:hAnsi="Hadasa Roso SL" w:cs="MS Mincho"/>
      <w:color w:val="000000"/>
      <w:spacing w:val="1"/>
      <w:sz w:val="17"/>
      <w:szCs w:val="17"/>
      <w:lang w:eastAsia="ja-JP"/>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Hadasa Roso SL" w:eastAsia="MS Mincho" w:hAnsi="Hadasa Roso SL" w:cs="MS Mincho"/>
      <w:color w:val="000000"/>
      <w:spacing w:val="1"/>
      <w:sz w:val="17"/>
      <w:szCs w:val="17"/>
      <w:lang w:eastAsia="ja-JP"/>
    </w:rPr>
  </w:style>
  <w:style w:type="paragraph" w:customStyle="1" w:styleId="HeadDivreiHesber">
    <w:name w:val="Head DivreiHesber"/>
    <w:basedOn w:val="Ragil"/>
    <w:uiPriority w:val="99"/>
    <w:pPr>
      <w:spacing w:before="360" w:after="120"/>
      <w:ind w:firstLine="0"/>
      <w:jc w:val="center"/>
    </w:pPr>
    <w:rPr>
      <w:b/>
      <w:spacing w:val="40"/>
    </w:rPr>
  </w:style>
  <w:style w:type="paragraph" w:customStyle="1" w:styleId="Ragil">
    <w:name w:val="Ragil"/>
    <w:basedOn w:val="Noparagraphstyle"/>
    <w:uiPriority w:val="99"/>
    <w:pPr>
      <w:ind w:firstLine="340"/>
    </w:pPr>
  </w:style>
  <w:style w:type="paragraph" w:styleId="Title">
    <w:name w:val="Title"/>
    <w:basedOn w:val="Normal"/>
    <w:link w:val="TitleChar"/>
    <w:uiPriority w:val="99"/>
    <w:qFormat/>
    <w:pPr>
      <w:jc w:val="center"/>
    </w:pPr>
    <w:rPr>
      <w:b/>
      <w:bCs/>
      <w:sz w:val="28"/>
      <w:szCs w:val="28"/>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spacing w:val="1"/>
      <w:kern w:val="28"/>
      <w:sz w:val="32"/>
      <w:szCs w:val="32"/>
      <w:lang w:eastAsia="ja-JP"/>
    </w:rPr>
  </w:style>
  <w:style w:type="character" w:styleId="PageNumber">
    <w:name w:val="page number"/>
    <w:basedOn w:val="DefaultParagraphFont"/>
    <w:uiPriority w:val="99"/>
    <w:rPr>
      <w:rFonts w:cs="Times New Roman"/>
    </w:rPr>
  </w:style>
  <w:style w:type="paragraph" w:customStyle="1" w:styleId="David">
    <w:name w:val="רגיל + (עברית ושפות אחרות) David"/>
    <w:aliases w:val="‏13 נק',מודגש,אחרי:  6 נק'"/>
    <w:basedOn w:val="Normal"/>
    <w:uiPriority w:val="99"/>
    <w:pPr>
      <w:ind w:firstLine="0"/>
      <w:jc w:val="left"/>
    </w:pPr>
    <w:rPr>
      <w:sz w:val="26"/>
      <w:szCs w:val="26"/>
    </w:rPr>
  </w:style>
  <w:style w:type="character" w:customStyle="1" w:styleId="default">
    <w:name w:val="default"/>
    <w:basedOn w:val="DefaultParagraphFont"/>
    <w:uiPriority w:val="9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3812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הצעת חוק לביטול ההתיישנות בעבירות מין במשפחה (תיקוני חקיקה), התשע"א-2010</vt:lpstr>
    </vt:vector>
  </TitlesOfParts>
  <Company>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הצעת חוק לביטול ההתיישנות בעבירות מין במשפחה (תיקוני חקיקה), התשע"א-2010</dc:title>
  <dc:subject/>
  <dc:creator>Knesset</dc:creator>
  <cp:keywords/>
  <dc:description/>
  <cp:lastModifiedBy>shany s</cp:lastModifiedBy>
  <cp:revision>2</cp:revision>
  <dcterms:created xsi:type="dcterms:W3CDTF">2015-07-25T15:47:00Z</dcterms:created>
  <dcterms:modified xsi:type="dcterms:W3CDTF">2015-07-25T15:47:00Z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Number">
    <vt:lpwstr>03610510</vt:lpwstr>
  </property>
  <property fmtid="{D5CDD505-2E9C-101B-9397-08002B2CF9AE}" pid="3" name="ContentTypeId">
    <vt:lpwstr>0x010100D2889987F19D9A4EA3E715683F9311D62A009006708AF7741D4EAEBEE3220EA32DEB</vt:lpwstr>
  </property>
  <property fmtid="{D5CDD505-2E9C-101B-9397-08002B2CF9AE}" pid="4" name="ContentType">
    <vt:lpwstr>חקיקה - HatzaaTromit</vt:lpwstr>
  </property>
  <property fmtid="{D5CDD505-2E9C-101B-9397-08002B2CF9AE}" pid="5" name="SDCategoryID">
    <vt:lpwstr>7fc2ca30016a;#</vt:lpwstr>
  </property>
  <property fmtid="{D5CDD505-2E9C-101B-9397-08002B2CF9AE}" pid="6" name="מספר הצעת חוק למיון">
    <vt:lpwstr>2668.00000000000</vt:lpwstr>
  </property>
  <property fmtid="{D5CDD505-2E9C-101B-9397-08002B2CF9AE}" pid="7" name="DocID">
    <vt:lpwstr>268562.000000000</vt:lpwstr>
  </property>
  <property fmtid="{D5CDD505-2E9C-101B-9397-08002B2CF9AE}" pid="8" name="SDCategories">
    <vt:lpwstr>:חקיקה:נוסח לדיון מוקדם;#</vt:lpwstr>
  </property>
  <property fmtid="{D5CDD505-2E9C-101B-9397-08002B2CF9AE}" pid="9" name="SDDocDate">
    <vt:lpwstr>2010-10-25T16:01:00Z</vt:lpwstr>
  </property>
  <property fmtid="{D5CDD505-2E9C-101B-9397-08002B2CF9AE}" pid="10" name="SDHebDate">
    <vt:lpwstr>י"ז בחשון, התשע"א</vt:lpwstr>
  </property>
  <property fmtid="{D5CDD505-2E9C-101B-9397-08002B2CF9AE}" pid="11" name="Vaada">
    <vt:lpwstr/>
  </property>
  <property fmtid="{D5CDD505-2E9C-101B-9397-08002B2CF9AE}" pid="12" name="תאריך הנחה">
    <vt:lpwstr>2010-10-25T00:00:00Z</vt:lpwstr>
  </property>
  <property fmtid="{D5CDD505-2E9C-101B-9397-08002B2CF9AE}" pid="13" name="ItemID">
    <vt:lpwstr>370469.000000000</vt:lpwstr>
  </property>
  <property fmtid="{D5CDD505-2E9C-101B-9397-08002B2CF9AE}" pid="14" name="ProposerID">
    <vt:lpwstr>000004376, 000004295, 000012961, 000004419, 000004412, 000001065, 000012943, 000000488, 000012942, 000012936, 000002014, 000000503, 000004416, 000004409</vt:lpwstr>
  </property>
  <property fmtid="{D5CDD505-2E9C-101B-9397-08002B2CF9AE}" pid="15" name="Proposer">
    <vt:lpwstr>ישראל חסון, חנא סוייד, נחמן שי, אברהם מיכאלי, רוברט אילטוב, חיים אורון, אריה ביבי, יצחק  וקנין, מיכאל בן-ארי, עפו אגבאריה, גאלב מג'אדלה, אילן גילאון, דב חנין, אלכס מילר</vt:lpwstr>
  </property>
  <property fmtid="{D5CDD505-2E9C-101B-9397-08002B2CF9AE}" pid="16" name="SDAuthor">
    <vt:lpwstr>אורלי לוי אבקסיס</vt:lpwstr>
  </property>
  <property fmtid="{D5CDD505-2E9C-101B-9397-08002B2CF9AE}" pid="17" name="MechaberMismach">
    <vt:lpwstr>אורלי לוי אבקסיס</vt:lpwstr>
  </property>
  <property fmtid="{D5CDD505-2E9C-101B-9397-08002B2CF9AE}" pid="18" name="YozemID">
    <vt:lpwstr>000012952, 000012948, 000004405, 000004408, 000001033, 000013830, 000012950</vt:lpwstr>
  </property>
  <property fmtid="{D5CDD505-2E9C-101B-9397-08002B2CF9AE}" pid="19" name="MisHatzaatChok">
    <vt:lpwstr>/פ2668/18</vt:lpwstr>
  </property>
  <property fmtid="{D5CDD505-2E9C-101B-9397-08002B2CF9AE}" pid="20" name="YozemHatzaa_ChakList">
    <vt:lpwstr>אורלי לוי אבקסיס, ציפי חוטובלי, שלי יחימוביץ', ליה שמטוב, אלי אפללו, יוליה שמאלוב-ברקוביץ, פניה קירשנבאום</vt:lpwstr>
  </property>
</Properties>
</file>