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14" w:rsidRDefault="00F7149B" w:rsidP="00F7149B">
      <w:pPr>
        <w:spacing w:after="0" w:line="360" w:lineRule="auto"/>
        <w:jc w:val="both"/>
        <w:rPr>
          <w:rFonts w:cs="David" w:hint="cs"/>
          <w:sz w:val="24"/>
          <w:szCs w:val="24"/>
          <w:rtl/>
        </w:rPr>
      </w:pPr>
      <w:r>
        <w:rPr>
          <w:rFonts w:cs="David" w:hint="cs"/>
          <w:sz w:val="24"/>
          <w:szCs w:val="24"/>
          <w:rtl/>
        </w:rPr>
        <w:t>`</w:t>
      </w:r>
    </w:p>
    <w:p w:rsidR="00F7149B" w:rsidRDefault="00F7149B" w:rsidP="00F7149B">
      <w:pPr>
        <w:spacing w:after="0" w:line="360" w:lineRule="auto"/>
        <w:jc w:val="both"/>
        <w:rPr>
          <w:rFonts w:cs="David" w:hint="cs"/>
          <w:sz w:val="24"/>
          <w:szCs w:val="24"/>
          <w:rtl/>
        </w:rPr>
      </w:pPr>
      <w:r>
        <w:rPr>
          <w:rFonts w:cs="David" w:hint="cs"/>
          <w:sz w:val="24"/>
          <w:szCs w:val="24"/>
          <w:rtl/>
        </w:rPr>
        <w:t>ב"ה</w:t>
      </w:r>
    </w:p>
    <w:p w:rsidR="008F3E57" w:rsidRDefault="008F3E57" w:rsidP="00F7149B">
      <w:pPr>
        <w:spacing w:after="0" w:line="360" w:lineRule="auto"/>
        <w:jc w:val="both"/>
        <w:rPr>
          <w:rFonts w:cs="David" w:hint="cs"/>
          <w:sz w:val="24"/>
          <w:szCs w:val="24"/>
          <w:rtl/>
        </w:rPr>
      </w:pPr>
    </w:p>
    <w:p w:rsidR="008F3E57" w:rsidRDefault="008F3E57" w:rsidP="008F3E57">
      <w:pPr>
        <w:spacing w:after="0" w:line="360" w:lineRule="auto"/>
        <w:jc w:val="center"/>
        <w:rPr>
          <w:rFonts w:cs="David" w:hint="cs"/>
          <w:b/>
          <w:bCs/>
          <w:sz w:val="32"/>
          <w:szCs w:val="32"/>
          <w:rtl/>
        </w:rPr>
      </w:pPr>
      <w:r>
        <w:rPr>
          <w:rFonts w:cs="David" w:hint="cs"/>
          <w:b/>
          <w:bCs/>
          <w:sz w:val="32"/>
          <w:szCs w:val="32"/>
          <w:rtl/>
        </w:rPr>
        <w:t>הקריאה הגדולה</w:t>
      </w:r>
    </w:p>
    <w:p w:rsidR="008F3E57" w:rsidRPr="008F3E57" w:rsidRDefault="008F3E57" w:rsidP="008F3E57">
      <w:pPr>
        <w:spacing w:after="0" w:line="360" w:lineRule="auto"/>
        <w:jc w:val="center"/>
        <w:rPr>
          <w:rFonts w:cs="David" w:hint="cs"/>
          <w:b/>
          <w:bCs/>
          <w:sz w:val="32"/>
          <w:szCs w:val="32"/>
          <w:rtl/>
        </w:rPr>
      </w:pPr>
    </w:p>
    <w:p w:rsidR="00F7149B" w:rsidRDefault="00092BF2" w:rsidP="00092BF2">
      <w:pPr>
        <w:spacing w:after="0" w:line="360" w:lineRule="auto"/>
        <w:ind w:firstLine="509"/>
        <w:jc w:val="both"/>
        <w:rPr>
          <w:rFonts w:cs="David" w:hint="cs"/>
          <w:sz w:val="24"/>
          <w:szCs w:val="24"/>
          <w:rtl/>
        </w:rPr>
      </w:pPr>
      <w:r>
        <w:rPr>
          <w:rFonts w:cs="David" w:hint="cs"/>
          <w:sz w:val="24"/>
          <w:szCs w:val="24"/>
          <w:rtl/>
        </w:rPr>
        <w:t>ספר ויקרא.  עם כל התעסקות</w:t>
      </w:r>
      <w:r w:rsidR="008F3E57">
        <w:rPr>
          <w:rFonts w:cs="David" w:hint="cs"/>
          <w:sz w:val="24"/>
          <w:szCs w:val="24"/>
          <w:rtl/>
        </w:rPr>
        <w:t>נ</w:t>
      </w:r>
      <w:r>
        <w:rPr>
          <w:rFonts w:cs="David" w:hint="cs"/>
          <w:sz w:val="24"/>
          <w:szCs w:val="24"/>
          <w:rtl/>
        </w:rPr>
        <w:t xml:space="preserve">ו בקדושה וטהרה, בקרבנות ואש המשכן, שכחנו לרגע את נקודת הפתיחה </w:t>
      </w:r>
      <w:r>
        <w:rPr>
          <w:rFonts w:cs="David"/>
          <w:sz w:val="24"/>
          <w:szCs w:val="24"/>
          <w:rtl/>
        </w:rPr>
        <w:t>–</w:t>
      </w:r>
      <w:r>
        <w:rPr>
          <w:rFonts w:cs="David" w:hint="cs"/>
          <w:sz w:val="24"/>
          <w:szCs w:val="24"/>
          <w:rtl/>
        </w:rPr>
        <w:t xml:space="preserve"> אותה קריאה שעל שמה כל הספר נקרא.  והקריאה היתה שנויה במחלוקת </w:t>
      </w:r>
      <w:r>
        <w:rPr>
          <w:rFonts w:cs="David"/>
          <w:sz w:val="24"/>
          <w:szCs w:val="24"/>
          <w:rtl/>
        </w:rPr>
        <w:t>–</w:t>
      </w:r>
      <w:r>
        <w:rPr>
          <w:rFonts w:cs="David" w:hint="cs"/>
          <w:sz w:val="24"/>
          <w:szCs w:val="24"/>
          <w:rtl/>
        </w:rPr>
        <w:t xml:space="preserve"> משה רבינו רצה להגיד מקרה, וה' התעקש שייכתב 'ויקרא'.  והמחלוקת סובבת סביב עניינו של המלה הזו </w:t>
      </w:r>
      <w:r>
        <w:rPr>
          <w:rFonts w:cs="David"/>
          <w:sz w:val="24"/>
          <w:szCs w:val="24"/>
          <w:rtl/>
        </w:rPr>
        <w:t>–</w:t>
      </w:r>
      <w:r>
        <w:rPr>
          <w:rFonts w:cs="David" w:hint="cs"/>
          <w:sz w:val="24"/>
          <w:szCs w:val="24"/>
          <w:rtl/>
        </w:rPr>
        <w:t xml:space="preserve"> עניין הייחוד והאהבה הממקודת. בלשון רש"י </w:t>
      </w:r>
      <w:r>
        <w:rPr>
          <w:rFonts w:cs="David"/>
          <w:sz w:val="24"/>
          <w:szCs w:val="24"/>
          <w:rtl/>
        </w:rPr>
        <w:t>–</w:t>
      </w:r>
      <w:r>
        <w:rPr>
          <w:rFonts w:cs="David" w:hint="cs"/>
          <w:sz w:val="24"/>
          <w:szCs w:val="24"/>
          <w:rtl/>
        </w:rPr>
        <w:t xml:space="preserve"> חיבה.  משה רבינו, </w:t>
      </w:r>
      <w:r w:rsidR="008F3E57">
        <w:rPr>
          <w:rFonts w:cs="David" w:hint="cs"/>
          <w:sz w:val="24"/>
          <w:szCs w:val="24"/>
          <w:rtl/>
        </w:rPr>
        <w:t>כמו כלה חדשה, התבייש בכל התשומת-</w:t>
      </w:r>
      <w:r>
        <w:rPr>
          <w:rFonts w:cs="David" w:hint="cs"/>
          <w:sz w:val="24"/>
          <w:szCs w:val="24"/>
          <w:rtl/>
        </w:rPr>
        <w:t xml:space="preserve">לב המופנית ישירות אליו.  כבר מתחילת דרכו הביע הוא את המשאלה </w:t>
      </w:r>
      <w:r>
        <w:rPr>
          <w:rFonts w:cs="David"/>
          <w:sz w:val="24"/>
          <w:szCs w:val="24"/>
          <w:rtl/>
        </w:rPr>
        <w:t>–</w:t>
      </w:r>
      <w:r>
        <w:rPr>
          <w:rFonts w:cs="David" w:hint="cs"/>
          <w:sz w:val="24"/>
          <w:szCs w:val="24"/>
          <w:rtl/>
        </w:rPr>
        <w:t xml:space="preserve"> "שלח נא ביד תשלח".  אל תעשה אותי מיוחד, נודע ברבים כמי שמקבל חיבה יתרה.  יש בבקשה זו מידת ענוה, וגם מידת בושה המתאימה באמת </w:t>
      </w:r>
      <w:r w:rsidRPr="003D0DF8">
        <w:rPr>
          <w:rFonts w:asciiTheme="majorBidi" w:hAnsiTheme="majorBidi" w:cs="David"/>
          <w:sz w:val="24"/>
          <w:szCs w:val="24"/>
          <w:rtl/>
        </w:rPr>
        <w:t>לא</w:t>
      </w:r>
      <w:r w:rsidR="00093528" w:rsidRPr="003D0DF8">
        <w:rPr>
          <w:rFonts w:asciiTheme="majorBidi" w:hAnsiTheme="majorBidi" w:cs="David"/>
          <w:sz w:val="24"/>
          <w:szCs w:val="24"/>
          <w:rtl/>
        </w:rPr>
        <w:t>ָ</w:t>
      </w:r>
      <w:r w:rsidRPr="003D0DF8">
        <w:rPr>
          <w:rFonts w:asciiTheme="majorBidi" w:hAnsiTheme="majorBidi" w:cs="David"/>
          <w:sz w:val="24"/>
          <w:szCs w:val="24"/>
          <w:rtl/>
        </w:rPr>
        <w:t>הוב</w:t>
      </w:r>
      <w:r w:rsidR="00093528">
        <w:rPr>
          <w:rFonts w:cs="David" w:hint="cs"/>
          <w:sz w:val="24"/>
          <w:szCs w:val="24"/>
          <w:rtl/>
        </w:rPr>
        <w:t>.  והוא הפנים לנו את זה ב'א' הקטנה של ויקרא הראשון</w:t>
      </w:r>
      <w:r w:rsidR="003D0DF8">
        <w:rPr>
          <w:rFonts w:cs="David" w:hint="cs"/>
          <w:sz w:val="24"/>
          <w:szCs w:val="24"/>
          <w:rtl/>
        </w:rPr>
        <w:t xml:space="preserve">.  </w:t>
      </w:r>
    </w:p>
    <w:p w:rsidR="003D0DF8" w:rsidRDefault="003D0DF8" w:rsidP="00E32850">
      <w:pPr>
        <w:spacing w:after="0" w:line="360" w:lineRule="auto"/>
        <w:ind w:firstLine="509"/>
        <w:jc w:val="both"/>
        <w:rPr>
          <w:rFonts w:cs="David" w:hint="cs"/>
          <w:sz w:val="24"/>
          <w:szCs w:val="24"/>
          <w:rtl/>
        </w:rPr>
      </w:pPr>
      <w:r>
        <w:rPr>
          <w:rFonts w:cs="David" w:hint="cs"/>
          <w:sz w:val="24"/>
          <w:szCs w:val="24"/>
          <w:rtl/>
        </w:rPr>
        <w:t>וחיבה זו, עם כל הנשגבות שלה, עם כל העדינות שלה, הולכת איתנו בכל הספר, לוחשת לנו על ייחוד ו</w:t>
      </w:r>
      <w:r w:rsidR="002A5363">
        <w:rPr>
          <w:rFonts w:cs="David" w:hint="cs"/>
          <w:sz w:val="24"/>
          <w:szCs w:val="24"/>
          <w:rtl/>
        </w:rPr>
        <w:t>קירבה.  והשבוע הופכת היא לחזקה</w:t>
      </w:r>
      <w:r w:rsidR="008F3E57">
        <w:rPr>
          <w:rFonts w:cs="David" w:hint="cs"/>
          <w:sz w:val="24"/>
          <w:szCs w:val="24"/>
          <w:rtl/>
        </w:rPr>
        <w:t xml:space="preserve"> במיוחד</w:t>
      </w:r>
      <w:r w:rsidR="002A5363">
        <w:rPr>
          <w:rFonts w:cs="David" w:hint="cs"/>
          <w:sz w:val="24"/>
          <w:szCs w:val="24"/>
          <w:rtl/>
        </w:rPr>
        <w:t xml:space="preserve">, כאשר היא הופכת אותנו לפעילים.  "אלה מועדי ה' </w:t>
      </w:r>
      <w:r w:rsidR="002A5363">
        <w:rPr>
          <w:rFonts w:cs="David"/>
          <w:sz w:val="24"/>
          <w:szCs w:val="24"/>
          <w:rtl/>
        </w:rPr>
        <w:t>–</w:t>
      </w:r>
      <w:r w:rsidR="002A5363">
        <w:rPr>
          <w:rFonts w:cs="David" w:hint="cs"/>
          <w:sz w:val="24"/>
          <w:szCs w:val="24"/>
          <w:rtl/>
        </w:rPr>
        <w:t xml:space="preserve"> מקראי קדש </w:t>
      </w:r>
      <w:r w:rsidR="002A5363">
        <w:rPr>
          <w:rFonts w:cs="David"/>
          <w:sz w:val="24"/>
          <w:szCs w:val="24"/>
          <w:rtl/>
        </w:rPr>
        <w:t>–</w:t>
      </w:r>
      <w:r w:rsidR="002A5363">
        <w:rPr>
          <w:rFonts w:cs="David" w:hint="cs"/>
          <w:sz w:val="24"/>
          <w:szCs w:val="24"/>
          <w:rtl/>
        </w:rPr>
        <w:t xml:space="preserve"> אשר תקראו אותם במועדם".  לא רק שהקריאה מייחדת אותנו אלא גם פותחת לנו אפשרות </w:t>
      </w:r>
      <w:r w:rsidR="00E32850">
        <w:rPr>
          <w:rFonts w:cs="David" w:hint="cs"/>
          <w:sz w:val="24"/>
          <w:szCs w:val="24"/>
          <w:rtl/>
        </w:rPr>
        <w:t xml:space="preserve">לקרוא ייחוד לימים וזמנים.  הקריאה הפכה אותנו לקוראים מקראי קודש.  וכך רש"י מפרש בתחילת הפרשה </w:t>
      </w:r>
      <w:r w:rsidR="00E32850">
        <w:rPr>
          <w:rFonts w:cs="David"/>
          <w:sz w:val="24"/>
          <w:szCs w:val="24"/>
          <w:rtl/>
        </w:rPr>
        <w:t>–</w:t>
      </w:r>
      <w:r w:rsidR="00E32850">
        <w:rPr>
          <w:rFonts w:cs="David" w:hint="cs"/>
          <w:sz w:val="24"/>
          <w:szCs w:val="24"/>
          <w:rtl/>
        </w:rPr>
        <w:t xml:space="preserve"> 'אמור ואמרת':  להזהיר הגדולים על הקטנים.  בפעם הראשונה המצוה איננה רק </w:t>
      </w:r>
      <w:r w:rsidR="008B795C">
        <w:rPr>
          <w:rFonts w:cs="David" w:hint="cs"/>
          <w:sz w:val="24"/>
          <w:szCs w:val="24"/>
          <w:rtl/>
        </w:rPr>
        <w:t>מן ה' אלינו, אלא גם שהגדולים שקיבלו את המצווה ייהפכו מחנכים, מזהירים את הקטנים ומאירים (נותנים זוהר) להם את יפי הדרך</w:t>
      </w:r>
      <w:r w:rsidR="003D7DB1">
        <w:rPr>
          <w:rFonts w:cs="David" w:hint="cs"/>
          <w:sz w:val="24"/>
          <w:szCs w:val="24"/>
          <w:rtl/>
        </w:rPr>
        <w:t xml:space="preserve"> ומשמעותו</w:t>
      </w:r>
      <w:r w:rsidR="008B795C">
        <w:rPr>
          <w:rFonts w:cs="David" w:hint="cs"/>
          <w:sz w:val="24"/>
          <w:szCs w:val="24"/>
          <w:rtl/>
        </w:rPr>
        <w:t xml:space="preserve">.  </w:t>
      </w:r>
    </w:p>
    <w:p w:rsidR="008B795C" w:rsidRDefault="008B795C" w:rsidP="003D7DB1">
      <w:pPr>
        <w:spacing w:after="0" w:line="360" w:lineRule="auto"/>
        <w:ind w:firstLine="509"/>
        <w:jc w:val="both"/>
        <w:rPr>
          <w:rFonts w:cs="David" w:hint="cs"/>
          <w:sz w:val="24"/>
          <w:szCs w:val="24"/>
          <w:rtl/>
        </w:rPr>
      </w:pPr>
      <w:r>
        <w:rPr>
          <w:rFonts w:cs="David" w:hint="cs"/>
          <w:sz w:val="24"/>
          <w:szCs w:val="24"/>
          <w:rtl/>
        </w:rPr>
        <w:t xml:space="preserve"> ביסוד אפשר לומר שזוהי הקריאה לעם ישראל.  הר' שלמה ביטא זאת כך:  אנו העם הנבחר לומר לעולם שהם נבחרים.</w:t>
      </w:r>
      <w:r w:rsidR="003D7DB1">
        <w:rPr>
          <w:rFonts w:cs="David" w:hint="cs"/>
          <w:sz w:val="24"/>
          <w:szCs w:val="24"/>
          <w:rtl/>
        </w:rPr>
        <w:t xml:space="preserve">  קרא לנו הבורא מקרא קדוש כדי ש</w:t>
      </w:r>
      <w:r>
        <w:rPr>
          <w:rFonts w:cs="David" w:hint="cs"/>
          <w:sz w:val="24"/>
          <w:szCs w:val="24"/>
          <w:rtl/>
        </w:rPr>
        <w:t xml:space="preserve">נוכל להיות קוראים </w:t>
      </w:r>
      <w:r>
        <w:rPr>
          <w:rFonts w:cs="David"/>
          <w:sz w:val="24"/>
          <w:szCs w:val="24"/>
          <w:rtl/>
        </w:rPr>
        <w:t>–</w:t>
      </w:r>
      <w:r>
        <w:rPr>
          <w:rFonts w:cs="David" w:hint="cs"/>
          <w:sz w:val="24"/>
          <w:szCs w:val="24"/>
          <w:rtl/>
        </w:rPr>
        <w:t xml:space="preserve"> אל הימים המיוחדים, אל העולם, אל המציאות </w:t>
      </w:r>
      <w:r>
        <w:rPr>
          <w:rFonts w:cs="David"/>
          <w:sz w:val="24"/>
          <w:szCs w:val="24"/>
          <w:rtl/>
        </w:rPr>
        <w:t>–</w:t>
      </w:r>
      <w:r>
        <w:rPr>
          <w:rFonts w:cs="David" w:hint="cs"/>
          <w:sz w:val="24"/>
          <w:szCs w:val="24"/>
          <w:rtl/>
        </w:rPr>
        <w:t xml:space="preserve"> את אותה הקדושה והחיבה שנקרא עלינו.  וכמו שארץ ישראל שותה תחילה מהשפע האלוקי, </w:t>
      </w:r>
      <w:r w:rsidR="003D7DB1">
        <w:rPr>
          <w:rFonts w:cs="David" w:hint="cs"/>
          <w:sz w:val="24"/>
          <w:szCs w:val="24"/>
          <w:rtl/>
        </w:rPr>
        <w:t>כדי ש</w:t>
      </w:r>
      <w:r>
        <w:rPr>
          <w:rFonts w:cs="David" w:hint="cs"/>
          <w:sz w:val="24"/>
          <w:szCs w:val="24"/>
          <w:rtl/>
        </w:rPr>
        <w:t xml:space="preserve">ממנה השפע </w:t>
      </w:r>
      <w:r w:rsidR="003D7DB1">
        <w:rPr>
          <w:rFonts w:cs="David" w:hint="cs"/>
          <w:sz w:val="24"/>
          <w:szCs w:val="24"/>
          <w:rtl/>
        </w:rPr>
        <w:t>יי</w:t>
      </w:r>
      <w:r>
        <w:rPr>
          <w:rFonts w:cs="David" w:hint="cs"/>
          <w:sz w:val="24"/>
          <w:szCs w:val="24"/>
          <w:rtl/>
        </w:rPr>
        <w:t xml:space="preserve">שפך רוחנית אל העולם, כך אנו משפיעים ומתפללים לתיקון וייחוד העולם </w:t>
      </w:r>
      <w:r>
        <w:rPr>
          <w:rFonts w:cs="David"/>
          <w:sz w:val="24"/>
          <w:szCs w:val="24"/>
          <w:rtl/>
        </w:rPr>
        <w:t>–</w:t>
      </w:r>
      <w:r>
        <w:rPr>
          <w:rFonts w:cs="David" w:hint="cs"/>
          <w:sz w:val="24"/>
          <w:szCs w:val="24"/>
          <w:rtl/>
        </w:rPr>
        <w:t xml:space="preserve"> שייהפכו כלם אגודה אחת ושפה אחת לקרא בשם ה'.  </w:t>
      </w:r>
    </w:p>
    <w:p w:rsidR="00E676F1" w:rsidRDefault="008B795C" w:rsidP="003D7DB1">
      <w:pPr>
        <w:spacing w:after="0" w:line="360" w:lineRule="auto"/>
        <w:ind w:firstLine="509"/>
        <w:jc w:val="both"/>
        <w:rPr>
          <w:rFonts w:cs="David" w:hint="cs"/>
          <w:sz w:val="24"/>
          <w:szCs w:val="24"/>
          <w:rtl/>
        </w:rPr>
      </w:pPr>
      <w:r>
        <w:rPr>
          <w:rFonts w:cs="David" w:hint="cs"/>
          <w:sz w:val="24"/>
          <w:szCs w:val="24"/>
          <w:rtl/>
        </w:rPr>
        <w:t xml:space="preserve"> שורש העוצמה הזו טמון ביום אחד אליו אנו עורגים ומתגעגעים </w:t>
      </w:r>
      <w:r w:rsidR="003D7DB1">
        <w:rPr>
          <w:rFonts w:cs="David" w:hint="cs"/>
          <w:sz w:val="24"/>
          <w:szCs w:val="24"/>
          <w:rtl/>
        </w:rPr>
        <w:t>בתקופה זו</w:t>
      </w:r>
      <w:r>
        <w:rPr>
          <w:rFonts w:cs="David" w:hint="cs"/>
          <w:sz w:val="24"/>
          <w:szCs w:val="24"/>
          <w:rtl/>
        </w:rPr>
        <w:t xml:space="preserve">.  אנו בעיצומה של ספירת העומר, אותה ספירה הנמשכת מיציאת מצרים </w:t>
      </w:r>
      <w:r w:rsidR="003D7DB1">
        <w:rPr>
          <w:rFonts w:cs="David"/>
          <w:sz w:val="24"/>
          <w:szCs w:val="24"/>
          <w:rtl/>
        </w:rPr>
        <w:t>–</w:t>
      </w:r>
      <w:r w:rsidR="003D7DB1">
        <w:rPr>
          <w:rFonts w:cs="David" w:hint="cs"/>
          <w:sz w:val="24"/>
          <w:szCs w:val="24"/>
          <w:rtl/>
        </w:rPr>
        <w:t xml:space="preserve"> והיא </w:t>
      </w:r>
      <w:r>
        <w:rPr>
          <w:rFonts w:cs="David" w:hint="cs"/>
          <w:sz w:val="24"/>
          <w:szCs w:val="24"/>
          <w:rtl/>
        </w:rPr>
        <w:t>מובילה אל יום המנחה החדשה הלא ה</w:t>
      </w:r>
      <w:r w:rsidR="003D7DB1">
        <w:rPr>
          <w:rFonts w:cs="David" w:hint="cs"/>
          <w:sz w:val="24"/>
          <w:szCs w:val="24"/>
          <w:rtl/>
        </w:rPr>
        <w:t>וא יום הביכורים.  ידוע</w:t>
      </w:r>
      <w:r>
        <w:rPr>
          <w:rFonts w:cs="David" w:hint="cs"/>
          <w:sz w:val="24"/>
          <w:szCs w:val="24"/>
          <w:rtl/>
        </w:rPr>
        <w:t xml:space="preserve"> ה</w:t>
      </w:r>
      <w:r w:rsidR="003D7DB1">
        <w:rPr>
          <w:rFonts w:cs="David" w:hint="cs"/>
          <w:sz w:val="24"/>
          <w:szCs w:val="24"/>
          <w:rtl/>
        </w:rPr>
        <w:t>ו</w:t>
      </w:r>
      <w:r>
        <w:rPr>
          <w:rFonts w:cs="David" w:hint="cs"/>
          <w:sz w:val="24"/>
          <w:szCs w:val="24"/>
          <w:rtl/>
        </w:rPr>
        <w:t>א אצלנו גם כיום מתן תורה.  אך בפרשתינו ה</w:t>
      </w:r>
      <w:r w:rsidR="003D7DB1">
        <w:rPr>
          <w:rFonts w:cs="David" w:hint="cs"/>
          <w:sz w:val="24"/>
          <w:szCs w:val="24"/>
          <w:rtl/>
        </w:rPr>
        <w:t>ו</w:t>
      </w:r>
      <w:r>
        <w:rPr>
          <w:rFonts w:cs="David" w:hint="cs"/>
          <w:sz w:val="24"/>
          <w:szCs w:val="24"/>
          <w:rtl/>
        </w:rPr>
        <w:t xml:space="preserve">א גם שורש הקריאה הקדושה </w:t>
      </w:r>
      <w:r>
        <w:rPr>
          <w:rFonts w:cs="David"/>
          <w:sz w:val="24"/>
          <w:szCs w:val="24"/>
          <w:rtl/>
        </w:rPr>
        <w:t>–</w:t>
      </w:r>
      <w:r>
        <w:rPr>
          <w:rFonts w:cs="David" w:hint="cs"/>
          <w:sz w:val="24"/>
          <w:szCs w:val="24"/>
          <w:rtl/>
        </w:rPr>
        <w:t xml:space="preserve"> "וקראתם בעצם היום הזה מקרא קודש".  עצמותו של </w:t>
      </w:r>
      <w:r w:rsidR="003D7DB1">
        <w:rPr>
          <w:rFonts w:cs="David" w:hint="cs"/>
          <w:sz w:val="24"/>
          <w:szCs w:val="24"/>
          <w:rtl/>
        </w:rPr>
        <w:t>ה</w:t>
      </w:r>
      <w:r>
        <w:rPr>
          <w:rFonts w:cs="David" w:hint="cs"/>
          <w:sz w:val="24"/>
          <w:szCs w:val="24"/>
          <w:rtl/>
        </w:rPr>
        <w:t xml:space="preserve">יום היא הנותנת כח לקרוא קדושה אל העולם.  וזוהי מהותה של נתינת התורה אל העולם </w:t>
      </w:r>
      <w:r>
        <w:rPr>
          <w:rFonts w:cs="David"/>
          <w:sz w:val="24"/>
          <w:szCs w:val="24"/>
          <w:rtl/>
        </w:rPr>
        <w:t>–</w:t>
      </w:r>
      <w:r>
        <w:rPr>
          <w:rFonts w:cs="David" w:hint="cs"/>
          <w:sz w:val="24"/>
          <w:szCs w:val="24"/>
          <w:rtl/>
        </w:rPr>
        <w:t xml:space="preserve"> לקרוא בעולם ואליו</w:t>
      </w:r>
      <w:r w:rsidR="00E676F1">
        <w:rPr>
          <w:rFonts w:cs="David" w:hint="cs"/>
          <w:sz w:val="24"/>
          <w:szCs w:val="24"/>
          <w:rtl/>
        </w:rPr>
        <w:t xml:space="preserve">.  ויום זה, הרחוק מאיתנו כשלשה שבועות, נותר בפוטנציאל ההתחדשות שלו.  ואל הביכורים שיום זה נקרא על שמם מתלוה דבור מיוחד במינו </w:t>
      </w:r>
      <w:r w:rsidR="00E676F1">
        <w:rPr>
          <w:rFonts w:cs="David"/>
          <w:sz w:val="24"/>
          <w:szCs w:val="24"/>
          <w:rtl/>
        </w:rPr>
        <w:t>–</w:t>
      </w:r>
      <w:r w:rsidR="00E676F1">
        <w:rPr>
          <w:rFonts w:cs="David" w:hint="cs"/>
          <w:sz w:val="24"/>
          <w:szCs w:val="24"/>
          <w:rtl/>
        </w:rPr>
        <w:t xml:space="preserve"> מקרא הביכורים. </w:t>
      </w:r>
    </w:p>
    <w:p w:rsidR="000A5896" w:rsidRDefault="00E676F1" w:rsidP="003D7DB1">
      <w:pPr>
        <w:spacing w:after="0" w:line="360" w:lineRule="auto"/>
        <w:ind w:firstLine="509"/>
        <w:jc w:val="both"/>
        <w:rPr>
          <w:rFonts w:cs="David" w:hint="cs"/>
          <w:sz w:val="24"/>
          <w:szCs w:val="24"/>
          <w:rtl/>
        </w:rPr>
      </w:pPr>
      <w:r>
        <w:rPr>
          <w:rFonts w:cs="David" w:hint="cs"/>
          <w:sz w:val="24"/>
          <w:szCs w:val="24"/>
          <w:rtl/>
        </w:rPr>
        <w:t xml:space="preserve"> אף התורה, שניתנה באותו יום, אנו מכנים בשם 'מקרא' </w:t>
      </w:r>
      <w:r w:rsidR="003D7DB1">
        <w:rPr>
          <w:rFonts w:cs="David" w:hint="cs"/>
          <w:sz w:val="24"/>
          <w:szCs w:val="24"/>
          <w:rtl/>
        </w:rPr>
        <w:t>דבר</w:t>
      </w:r>
      <w:r>
        <w:rPr>
          <w:rFonts w:cs="David" w:hint="cs"/>
          <w:sz w:val="24"/>
          <w:szCs w:val="24"/>
          <w:rtl/>
        </w:rPr>
        <w:t xml:space="preserve"> </w:t>
      </w:r>
      <w:r w:rsidR="003D7DB1">
        <w:rPr>
          <w:rFonts w:cs="David" w:hint="cs"/>
          <w:sz w:val="24"/>
          <w:szCs w:val="24"/>
          <w:rtl/>
        </w:rPr>
        <w:t>ה</w:t>
      </w:r>
      <w:r>
        <w:rPr>
          <w:rFonts w:cs="David" w:hint="cs"/>
          <w:sz w:val="24"/>
          <w:szCs w:val="24"/>
          <w:rtl/>
        </w:rPr>
        <w:t xml:space="preserve">מרמז על כוחה של התורה בחיינו.  וכך ר' נחמן מסביר את קריאת התורה שלנו.  הקריאה בתורה היא קריאה אל מקור החיים </w:t>
      </w:r>
      <w:r>
        <w:rPr>
          <w:rFonts w:cs="David"/>
          <w:sz w:val="24"/>
          <w:szCs w:val="24"/>
          <w:rtl/>
        </w:rPr>
        <w:t>–</w:t>
      </w:r>
      <w:r>
        <w:rPr>
          <w:rFonts w:cs="David" w:hint="cs"/>
          <w:sz w:val="24"/>
          <w:szCs w:val="24"/>
          <w:rtl/>
        </w:rPr>
        <w:t xml:space="preserve"> למשוך אלינו חיים דרך מתנת החיים שלו אלינו.  ובפרט, </w:t>
      </w:r>
      <w:r w:rsidR="000A5896">
        <w:rPr>
          <w:rFonts w:cs="David" w:hint="cs"/>
          <w:sz w:val="24"/>
          <w:szCs w:val="24"/>
          <w:rtl/>
        </w:rPr>
        <w:t xml:space="preserve">ר' נחמן מסביר, צריכים אנו למשוך חיים וחיות אל המלכות שלנו, אל נקודות ההשפעה שלנו.  בגלל אחריותם הכבדה </w:t>
      </w:r>
      <w:r w:rsidR="003D7DB1">
        <w:rPr>
          <w:rFonts w:cs="David" w:hint="cs"/>
          <w:sz w:val="24"/>
          <w:szCs w:val="24"/>
          <w:rtl/>
        </w:rPr>
        <w:t xml:space="preserve">של השפעות אלה, </w:t>
      </w:r>
      <w:r w:rsidR="000A5896">
        <w:rPr>
          <w:rFonts w:cs="David" w:hint="cs"/>
          <w:sz w:val="24"/>
          <w:szCs w:val="24"/>
          <w:rtl/>
        </w:rPr>
        <w:t xml:space="preserve">הם נמשכים אל הכבדות ומנקזים מאיתנו את החיות שלנו.  כל מקום שבו אדם  משפיע הוא כח גדול הדורש ומושך הרבה חיות, וכך ה'רבנות מקברת את בעליה'.  ולכן צריכים </w:t>
      </w:r>
      <w:r w:rsidR="000A5896">
        <w:rPr>
          <w:rFonts w:cs="David" w:hint="cs"/>
          <w:sz w:val="24"/>
          <w:szCs w:val="24"/>
          <w:rtl/>
        </w:rPr>
        <w:lastRenderedPageBreak/>
        <w:t xml:space="preserve">אנו תדיר למשוך חיות חדשה כדי שנוכל להחיות את המלכות שלנו.  זוהי מהות הקריאה בתורה </w:t>
      </w:r>
      <w:r w:rsidR="000A5896">
        <w:rPr>
          <w:rFonts w:cs="David"/>
          <w:sz w:val="24"/>
          <w:szCs w:val="24"/>
          <w:rtl/>
        </w:rPr>
        <w:t>–</w:t>
      </w:r>
      <w:r w:rsidR="000A5896">
        <w:rPr>
          <w:rFonts w:cs="David" w:hint="cs"/>
          <w:sz w:val="24"/>
          <w:szCs w:val="24"/>
          <w:rtl/>
        </w:rPr>
        <w:t xml:space="preserve"> לקרוא בתורה כדי לקרוא מקראי קודש בעולם.  ומחזור החיבה והקדושה נמשכת מן הגדול אל הקטנים </w:t>
      </w:r>
      <w:r w:rsidR="000A5896">
        <w:rPr>
          <w:rFonts w:cs="David"/>
          <w:sz w:val="24"/>
          <w:szCs w:val="24"/>
          <w:rtl/>
        </w:rPr>
        <w:t>–</w:t>
      </w:r>
      <w:r w:rsidR="000A5896">
        <w:rPr>
          <w:rFonts w:cs="David" w:hint="cs"/>
          <w:sz w:val="24"/>
          <w:szCs w:val="24"/>
          <w:rtl/>
        </w:rPr>
        <w:t xml:space="preserve"> ואותם קטנים הופכים גדולים המזהירים את הקטנים מהם, וכך התורה ממשיכה חיים חדשים מדור לדור.  </w:t>
      </w:r>
    </w:p>
    <w:p w:rsidR="008F3E57" w:rsidRDefault="000A5896" w:rsidP="008F3E57">
      <w:pPr>
        <w:spacing w:after="0" w:line="360" w:lineRule="auto"/>
        <w:ind w:firstLine="509"/>
        <w:jc w:val="both"/>
        <w:rPr>
          <w:rFonts w:cs="David" w:hint="cs"/>
          <w:sz w:val="24"/>
          <w:szCs w:val="24"/>
          <w:rtl/>
        </w:rPr>
      </w:pPr>
      <w:r>
        <w:rPr>
          <w:rFonts w:cs="David" w:hint="cs"/>
          <w:sz w:val="24"/>
          <w:szCs w:val="24"/>
          <w:rtl/>
        </w:rPr>
        <w:t xml:space="preserve">ובליבנו הקריאה ממשיכה </w:t>
      </w:r>
      <w:r>
        <w:rPr>
          <w:rFonts w:cs="David"/>
          <w:sz w:val="24"/>
          <w:szCs w:val="24"/>
          <w:rtl/>
        </w:rPr>
        <w:t>–</w:t>
      </w:r>
      <w:r>
        <w:rPr>
          <w:rFonts w:cs="David" w:hint="cs"/>
          <w:sz w:val="24"/>
          <w:szCs w:val="24"/>
          <w:rtl/>
        </w:rPr>
        <w:t xml:space="preserve"> מושכת אותנו אל נקודת הגדולה שלנו, ומתחננת מאיתנו:  תקראו את מקראי הקודש, ותתנו לשפע להמשיך להשפיע.  אל אותו יום שבעצמותו וכוחו קוראים אנו </w:t>
      </w:r>
      <w:r>
        <w:rPr>
          <w:rFonts w:cs="David"/>
          <w:sz w:val="24"/>
          <w:szCs w:val="24"/>
          <w:rtl/>
        </w:rPr>
        <w:t>–</w:t>
      </w:r>
      <w:r>
        <w:rPr>
          <w:rFonts w:cs="David" w:hint="cs"/>
          <w:sz w:val="24"/>
          <w:szCs w:val="24"/>
          <w:rtl/>
        </w:rPr>
        <w:t xml:space="preserve"> אל נקודה זו שואפים אנו בימים אל</w:t>
      </w:r>
      <w:r w:rsidR="003D7DB1">
        <w:rPr>
          <w:rFonts w:cs="David" w:hint="cs"/>
          <w:sz w:val="24"/>
          <w:szCs w:val="24"/>
          <w:rtl/>
        </w:rPr>
        <w:t xml:space="preserve">ה, ובאמת בדור הזה.  וקרוב ה' </w:t>
      </w:r>
      <w:bookmarkStart w:id="0" w:name="_GoBack"/>
      <w:bookmarkEnd w:id="0"/>
      <w:r w:rsidR="003D7DB1">
        <w:rPr>
          <w:rFonts w:cs="David" w:hint="cs"/>
          <w:sz w:val="24"/>
          <w:szCs w:val="24"/>
          <w:rtl/>
        </w:rPr>
        <w:t>ל</w:t>
      </w:r>
      <w:r>
        <w:rPr>
          <w:rFonts w:cs="David" w:hint="cs"/>
          <w:sz w:val="24"/>
          <w:szCs w:val="24"/>
          <w:rtl/>
        </w:rPr>
        <w:t>כל קוראיו</w:t>
      </w:r>
      <w:r w:rsidR="008F3E57">
        <w:rPr>
          <w:rFonts w:cs="David" w:hint="cs"/>
          <w:sz w:val="24"/>
          <w:szCs w:val="24"/>
          <w:rtl/>
        </w:rPr>
        <w:t xml:space="preserve"> </w:t>
      </w:r>
      <w:r w:rsidR="008F3E57">
        <w:rPr>
          <w:rFonts w:cs="David"/>
          <w:sz w:val="24"/>
          <w:szCs w:val="24"/>
          <w:rtl/>
        </w:rPr>
        <w:t>–</w:t>
      </w:r>
      <w:r w:rsidR="008F3E57">
        <w:rPr>
          <w:rFonts w:cs="David" w:hint="cs"/>
          <w:sz w:val="24"/>
          <w:szCs w:val="24"/>
          <w:rtl/>
        </w:rPr>
        <w:t xml:space="preserve"> בפינו ובלבבינו לקרוא.  זכות וכח מיוחדים נפלו עלינו כמו אדם הראשון שבמפגשו הראשון עם העולם קרא שמות, ונתן כך משמעות לכל מרחב החיים.  גם אנו, שקיבלנו את התורה שהיא 'כולה שמותיו של הקב"ה', זוכים דרכה לקרוא את השמות האלה בעולם, ובזמן, ובנפשות שאנו פוגשים בדרכנו.  </w:t>
      </w:r>
    </w:p>
    <w:p w:rsidR="008F3E57" w:rsidRDefault="008F3E57" w:rsidP="008F3E57">
      <w:pPr>
        <w:spacing w:after="0" w:line="360" w:lineRule="auto"/>
        <w:ind w:firstLine="509"/>
        <w:jc w:val="both"/>
        <w:rPr>
          <w:rFonts w:cs="David" w:hint="cs"/>
          <w:sz w:val="24"/>
          <w:szCs w:val="24"/>
          <w:rtl/>
        </w:rPr>
      </w:pPr>
      <w:r>
        <w:rPr>
          <w:rFonts w:cs="David" w:hint="cs"/>
          <w:sz w:val="24"/>
          <w:szCs w:val="24"/>
          <w:rtl/>
        </w:rPr>
        <w:t xml:space="preserve">חלום גדול הוא 'ויקרא', אם רק נקרא אותה אל תוכנו.  </w:t>
      </w:r>
    </w:p>
    <w:p w:rsidR="008F3E57" w:rsidRDefault="008F3E57" w:rsidP="008F3E57">
      <w:pPr>
        <w:spacing w:after="0" w:line="360" w:lineRule="auto"/>
        <w:ind w:firstLine="509"/>
        <w:jc w:val="both"/>
        <w:rPr>
          <w:rFonts w:cs="David" w:hint="cs"/>
          <w:sz w:val="24"/>
          <w:szCs w:val="24"/>
          <w:rtl/>
        </w:rPr>
      </w:pPr>
    </w:p>
    <w:p w:rsidR="008F3E57" w:rsidRDefault="008F3E57" w:rsidP="008F3E57">
      <w:pPr>
        <w:spacing w:after="0" w:line="360" w:lineRule="auto"/>
        <w:ind w:firstLine="509"/>
        <w:jc w:val="both"/>
        <w:rPr>
          <w:rFonts w:cs="David" w:hint="cs"/>
          <w:sz w:val="24"/>
          <w:szCs w:val="24"/>
          <w:rtl/>
        </w:rPr>
      </w:pPr>
      <w:r>
        <w:rPr>
          <w:rFonts w:cs="David" w:hint="cs"/>
          <w:sz w:val="24"/>
          <w:szCs w:val="24"/>
          <w:rtl/>
        </w:rPr>
        <w:t>שבת שלום</w:t>
      </w:r>
    </w:p>
    <w:p w:rsidR="008B795C" w:rsidRPr="00F7149B" w:rsidRDefault="008F3E57" w:rsidP="008F3E57">
      <w:pPr>
        <w:spacing w:after="0" w:line="360" w:lineRule="auto"/>
        <w:ind w:firstLine="509"/>
        <w:jc w:val="both"/>
        <w:rPr>
          <w:rFonts w:cs="David"/>
          <w:sz w:val="24"/>
          <w:szCs w:val="24"/>
        </w:rPr>
      </w:pPr>
      <w:r>
        <w:rPr>
          <w:rFonts w:cs="David" w:hint="cs"/>
          <w:sz w:val="24"/>
          <w:szCs w:val="24"/>
          <w:rtl/>
        </w:rPr>
        <w:t xml:space="preserve"> רז  </w:t>
      </w:r>
      <w:r w:rsidR="00E676F1">
        <w:rPr>
          <w:rFonts w:cs="David" w:hint="cs"/>
          <w:sz w:val="24"/>
          <w:szCs w:val="24"/>
          <w:rtl/>
        </w:rPr>
        <w:t xml:space="preserve">  </w:t>
      </w:r>
    </w:p>
    <w:sectPr w:rsidR="008B795C" w:rsidRPr="00F7149B" w:rsidSect="006569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9B"/>
    <w:rsid w:val="00092BF2"/>
    <w:rsid w:val="00093528"/>
    <w:rsid w:val="000A5896"/>
    <w:rsid w:val="002A5363"/>
    <w:rsid w:val="003D0DF8"/>
    <w:rsid w:val="003D7DB1"/>
    <w:rsid w:val="0065692D"/>
    <w:rsid w:val="00684485"/>
    <w:rsid w:val="008B795C"/>
    <w:rsid w:val="008F3E57"/>
    <w:rsid w:val="00E32850"/>
    <w:rsid w:val="00E676F1"/>
    <w:rsid w:val="00F7149B"/>
    <w:rsid w:val="00F96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570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2015-04-30T03:17:00Z</dcterms:created>
  <dcterms:modified xsi:type="dcterms:W3CDTF">2015-04-30T12:02:00Z</dcterms:modified>
</cp:coreProperties>
</file>