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BD95FF" w14:textId="77777777" w:rsidR="005B15B1" w:rsidRDefault="005B15B1" w:rsidP="005B15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5B15B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INSTITUTE OF INDUSTRIAL ENGINEERS</w:t>
      </w:r>
    </w:p>
    <w:p w14:paraId="0930464F" w14:textId="77777777" w:rsidR="005B003B" w:rsidRPr="005B15B1" w:rsidRDefault="005B003B" w:rsidP="005B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UNIVERSITY OF WISCONSIN-MADISON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CHAPTER</w:t>
      </w:r>
    </w:p>
    <w:p w14:paraId="1C06030B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BYLAWS</w:t>
      </w:r>
    </w:p>
    <w:p w14:paraId="2DAF7545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 xml:space="preserve">Updated </w:t>
      </w:r>
      <w:r w:rsidR="005B003B">
        <w:rPr>
          <w:rFonts w:ascii="Calibri" w:eastAsia="Times New Roman" w:hAnsi="Calibri" w:cs="Calibri"/>
          <w:b/>
          <w:bCs/>
          <w:color w:val="000000"/>
        </w:rPr>
        <w:t>August 18</w:t>
      </w:r>
      <w:r w:rsidR="008F5C77">
        <w:rPr>
          <w:rFonts w:ascii="Calibri" w:eastAsia="Times New Roman" w:hAnsi="Calibri" w:cs="Calibri"/>
          <w:b/>
          <w:bCs/>
          <w:color w:val="000000"/>
        </w:rPr>
        <w:t>, 201</w:t>
      </w:r>
      <w:r w:rsidR="005B003B">
        <w:rPr>
          <w:rFonts w:ascii="Calibri" w:eastAsia="Times New Roman" w:hAnsi="Calibri" w:cs="Calibri"/>
          <w:b/>
          <w:bCs/>
          <w:color w:val="000000"/>
        </w:rPr>
        <w:t>2</w:t>
      </w:r>
      <w:bookmarkStart w:id="0" w:name="_GoBack"/>
      <w:bookmarkEnd w:id="0"/>
    </w:p>
    <w:p w14:paraId="3F329B5A" w14:textId="77777777" w:rsidR="005B15B1" w:rsidRPr="005B15B1" w:rsidRDefault="005B15B1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7EA9E2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 xml:space="preserve">ARTICLE I. </w:t>
      </w:r>
    </w:p>
    <w:p w14:paraId="7D4802F0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>FINANCE</w:t>
      </w:r>
    </w:p>
    <w:p w14:paraId="4EA5A819" w14:textId="77777777" w:rsidR="005B15B1" w:rsidRPr="005B15B1" w:rsidRDefault="005B15B1" w:rsidP="005B15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The Pro Card shall be used for financial activities unless otherwise approved under Article IV-1.</w:t>
      </w:r>
    </w:p>
    <w:p w14:paraId="442EAB1D" w14:textId="77777777" w:rsidR="005B15B1" w:rsidRPr="005B15B1" w:rsidRDefault="005B003B" w:rsidP="005B15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pict w14:anchorId="2429EBBA">
          <v:rect id="_x0000_s1026" style="position:absolute;left:0;text-align:left;margin-left:-17.6pt;margin-top:1.45pt;width:27.65pt;height:30.15pt;z-index:251658240;v-text-anchor:middle" strokecolor="red" strokeweight="3pt">
            <v:textbox style="mso-next-textbox:#_x0000_s1026">
              <w:txbxContent>
                <w:p w14:paraId="3712CF62" w14:textId="77777777" w:rsidR="00A40063" w:rsidRPr="000D07ED" w:rsidRDefault="00A40063" w:rsidP="00A4006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D07ED">
                    <w:rPr>
                      <w:b/>
                      <w:color w:val="FF0000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5B15B1" w:rsidRPr="005B15B1">
        <w:rPr>
          <w:rFonts w:ascii="Calibri" w:eastAsia="Times New Roman" w:hAnsi="Calibri" w:cs="Calibri"/>
          <w:color w:val="000000"/>
        </w:rPr>
        <w:t>IIE financial activity reports shall be made available to any of the following entities at any time:</w:t>
      </w:r>
    </w:p>
    <w:p w14:paraId="4D673DD1" w14:textId="77777777" w:rsidR="005B15B1" w:rsidRPr="005B15B1" w:rsidRDefault="005B15B1" w:rsidP="005B15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</w:rPr>
      </w:pPr>
      <w:r w:rsidRPr="005B15B1">
        <w:rPr>
          <w:rFonts w:ascii="Calibri" w:eastAsia="Times New Roman" w:hAnsi="Calibri" w:cs="Calibri"/>
          <w:color w:val="000000"/>
          <w:kern w:val="36"/>
        </w:rPr>
        <w:t>Student Leadership Center</w:t>
      </w:r>
    </w:p>
    <w:p w14:paraId="0CBB634E" w14:textId="77777777" w:rsidR="005B15B1" w:rsidRPr="005B15B1" w:rsidRDefault="005B15B1" w:rsidP="005B15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Committee on Student Organizations (CSO)</w:t>
      </w:r>
    </w:p>
    <w:p w14:paraId="0BDD5BCA" w14:textId="77777777" w:rsidR="005B15B1" w:rsidRPr="005B15B1" w:rsidRDefault="005B15B1" w:rsidP="005B15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Department of Industrial and Systems Engineering</w:t>
      </w:r>
    </w:p>
    <w:p w14:paraId="46170D8E" w14:textId="77777777" w:rsidR="005B15B1" w:rsidRPr="005B15B1" w:rsidRDefault="005B15B1" w:rsidP="005B15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UW- Madison College of Engineering</w:t>
      </w:r>
    </w:p>
    <w:p w14:paraId="7D6FCAC3" w14:textId="77777777" w:rsidR="005B15B1" w:rsidRPr="005B15B1" w:rsidRDefault="005B15B1" w:rsidP="005B15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Any other UW- Madison entity</w:t>
      </w:r>
      <w:r w:rsidRPr="005B15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5B1">
        <w:rPr>
          <w:rFonts w:ascii="Calibri" w:eastAsia="Times New Roman" w:hAnsi="Calibri" w:cs="Calibri"/>
          <w:color w:val="000000"/>
        </w:rPr>
        <w:t>    </w:t>
      </w:r>
    </w:p>
    <w:p w14:paraId="44C2944C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 xml:space="preserve">ARTICLE II. </w:t>
      </w:r>
    </w:p>
    <w:p w14:paraId="77C01261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>OFFICER RESPONSIBILITIES</w:t>
      </w:r>
    </w:p>
    <w:p w14:paraId="1E8E0D39" w14:textId="77777777" w:rsidR="005B15B1" w:rsidRPr="005B15B1" w:rsidRDefault="005B15B1" w:rsidP="005B15B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 xml:space="preserve">All IIE Officers are responsible for duties as listed in V. and VI. </w:t>
      </w:r>
      <w:proofErr w:type="gramStart"/>
      <w:r w:rsidRPr="005B15B1">
        <w:rPr>
          <w:rFonts w:ascii="Calibri" w:eastAsia="Times New Roman" w:hAnsi="Calibri" w:cs="Calibri"/>
          <w:color w:val="000000"/>
        </w:rPr>
        <w:t>of</w:t>
      </w:r>
      <w:proofErr w:type="gramEnd"/>
      <w:r w:rsidRPr="005B15B1">
        <w:rPr>
          <w:rFonts w:ascii="Calibri" w:eastAsia="Times New Roman" w:hAnsi="Calibri" w:cs="Calibri"/>
          <w:color w:val="000000"/>
        </w:rPr>
        <w:t xml:space="preserve"> the IIE Constitution.</w:t>
      </w:r>
    </w:p>
    <w:p w14:paraId="4A9E1275" w14:textId="77777777" w:rsidR="005B15B1" w:rsidRPr="005B15B1" w:rsidRDefault="005B15B1" w:rsidP="005B15B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Officers whom are resp</w:t>
      </w:r>
      <w:r w:rsidR="005B003B">
        <w:rPr>
          <w:rFonts w:ascii="Calibri" w:eastAsia="Times New Roman" w:hAnsi="Calibri" w:cs="Calibri"/>
          <w:color w:val="000000"/>
        </w:rPr>
        <w:t xml:space="preserve">onsible for hosting events </w:t>
      </w:r>
      <w:r w:rsidRPr="005B15B1">
        <w:rPr>
          <w:rFonts w:ascii="Calibri" w:eastAsia="Times New Roman" w:hAnsi="Calibri" w:cs="Calibri"/>
          <w:color w:val="000000"/>
        </w:rPr>
        <w:t>must submit event descriptions composed in accordance with Article V-1 to the IIE President prior to holding the event.  The Officer is also responsible for taking and logging attendance at their event.</w:t>
      </w:r>
      <w:r w:rsidRPr="005B15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D36E8AC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>ARTICLE III.</w:t>
      </w:r>
    </w:p>
    <w:p w14:paraId="2E88E3FB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B15B1">
        <w:rPr>
          <w:rFonts w:ascii="Calibri" w:eastAsia="Times New Roman" w:hAnsi="Calibri" w:cs="Calibri"/>
          <w:b/>
          <w:bCs/>
          <w:color w:val="000000"/>
        </w:rPr>
        <w:t>ISyE</w:t>
      </w:r>
      <w:proofErr w:type="spellEnd"/>
      <w:r w:rsidRPr="005B15B1">
        <w:rPr>
          <w:rFonts w:ascii="Calibri" w:eastAsia="Times New Roman" w:hAnsi="Calibri" w:cs="Calibri"/>
          <w:b/>
          <w:bCs/>
          <w:color w:val="000000"/>
        </w:rPr>
        <w:t xml:space="preserve"> DEPARTMENT RESPONSIBILITIES</w:t>
      </w:r>
    </w:p>
    <w:p w14:paraId="549ED153" w14:textId="77777777" w:rsidR="005B15B1" w:rsidRPr="005B15B1" w:rsidRDefault="005B003B" w:rsidP="005B15B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IIE</w:t>
      </w:r>
      <w:r w:rsidRPr="005B15B1">
        <w:rPr>
          <w:rFonts w:ascii="Calibri" w:eastAsia="Times New Roman" w:hAnsi="Calibri" w:cs="Calibri"/>
          <w:color w:val="000000"/>
        </w:rPr>
        <w:t xml:space="preserve"> </w:t>
      </w:r>
      <w:r w:rsidR="005B15B1" w:rsidRPr="005B15B1">
        <w:rPr>
          <w:rFonts w:ascii="Calibri" w:eastAsia="Times New Roman" w:hAnsi="Calibri" w:cs="Calibri"/>
          <w:color w:val="000000"/>
        </w:rPr>
        <w:t xml:space="preserve">UW- Madison Chapter is responsible for finding a staff member in the </w:t>
      </w:r>
      <w:proofErr w:type="spellStart"/>
      <w:r w:rsidR="005B15B1" w:rsidRPr="005B15B1">
        <w:rPr>
          <w:rFonts w:ascii="Calibri" w:eastAsia="Times New Roman" w:hAnsi="Calibri" w:cs="Calibri"/>
          <w:color w:val="000000"/>
        </w:rPr>
        <w:t>ISyE</w:t>
      </w:r>
      <w:proofErr w:type="spellEnd"/>
      <w:r w:rsidR="005B15B1" w:rsidRPr="005B15B1">
        <w:rPr>
          <w:rFonts w:ascii="Calibri" w:eastAsia="Times New Roman" w:hAnsi="Calibri" w:cs="Calibri"/>
          <w:color w:val="000000"/>
        </w:rPr>
        <w:t xml:space="preserve"> Department to act as an advisor.</w:t>
      </w:r>
    </w:p>
    <w:p w14:paraId="6BD13F62" w14:textId="77777777" w:rsidR="005B15B1" w:rsidRPr="008F5C77" w:rsidRDefault="005B003B" w:rsidP="008F5C7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pict w14:anchorId="7744FB7C">
          <v:rect id="_x0000_s1027" style="position:absolute;left:0;text-align:left;margin-left:-17.6pt;margin-top:-.4pt;width:27.65pt;height:30.15pt;z-index:251659264;v-text-anchor:middle" strokecolor="red" strokeweight="3pt">
            <v:textbox style="mso-next-textbox:#_x0000_s1027">
              <w:txbxContent>
                <w:p w14:paraId="1C738812" w14:textId="77777777" w:rsidR="00A40063" w:rsidRPr="000D07ED" w:rsidRDefault="00A40063" w:rsidP="00A4006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="005B15B1" w:rsidRPr="005B15B1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="005B15B1" w:rsidRPr="005B15B1">
        <w:rPr>
          <w:rFonts w:ascii="Calibri" w:eastAsia="Times New Roman" w:hAnsi="Calibri" w:cs="Calibri"/>
          <w:color w:val="000000"/>
        </w:rPr>
        <w:t>ISyE</w:t>
      </w:r>
      <w:proofErr w:type="spellEnd"/>
      <w:r>
        <w:rPr>
          <w:rFonts w:ascii="Calibri" w:eastAsia="Times New Roman" w:hAnsi="Calibri" w:cs="Calibri"/>
          <w:color w:val="000000"/>
        </w:rPr>
        <w:t xml:space="preserve"> department is responsible for </w:t>
      </w:r>
      <w:r w:rsidR="005B15B1" w:rsidRPr="005B15B1">
        <w:rPr>
          <w:rFonts w:ascii="Calibri" w:eastAsia="Times New Roman" w:hAnsi="Calibri" w:cs="Calibri"/>
          <w:color w:val="000000"/>
        </w:rPr>
        <w:t xml:space="preserve">providing a department representative on IIE trips as required. </w:t>
      </w:r>
      <w:r w:rsidR="005B15B1" w:rsidRPr="008F5C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797176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>ARTICLE IV.</w:t>
      </w:r>
    </w:p>
    <w:p w14:paraId="2F029436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>IIE SANCTIONED EVENTS</w:t>
      </w:r>
    </w:p>
    <w:p w14:paraId="10FC9504" w14:textId="77777777" w:rsidR="005B15B1" w:rsidRPr="005B15B1" w:rsidRDefault="005B003B" w:rsidP="005B15B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</w:rPr>
        <w:pict w14:anchorId="2C70B7BD">
          <v:rect id="_x0000_s1028" style="position:absolute;left:0;text-align:left;margin-left:-17.6pt;margin-top:1.35pt;width:27.65pt;height:30.15pt;z-index:251660288;v-text-anchor:middle" strokecolor="red" strokeweight="3pt">
            <v:textbox style="mso-next-textbox:#_x0000_s1028">
              <w:txbxContent>
                <w:p w14:paraId="5399791B" w14:textId="77777777" w:rsidR="00A40063" w:rsidRPr="000D07ED" w:rsidRDefault="00A40063" w:rsidP="00A4006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5B15B1" w:rsidRPr="005B15B1">
        <w:rPr>
          <w:rFonts w:ascii="Calibri" w:eastAsia="Times New Roman" w:hAnsi="Calibri" w:cs="Calibri"/>
          <w:color w:val="000000"/>
        </w:rPr>
        <w:t>Monthly activity proposals are to be created and compiled by the IIE Officer Board.</w:t>
      </w:r>
    </w:p>
    <w:p w14:paraId="44ED732D" w14:textId="77777777" w:rsidR="005B15B1" w:rsidRPr="005B15B1" w:rsidRDefault="005B15B1" w:rsidP="005B15B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Proposals will be created in accordance with Document I: Monthly Activity Proposal.</w:t>
      </w:r>
    </w:p>
    <w:p w14:paraId="64684C14" w14:textId="77777777" w:rsidR="005B15B1" w:rsidRPr="005B15B1" w:rsidRDefault="005B15B1" w:rsidP="005B15B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 xml:space="preserve">Proposals will contain the date of event, description, expected number of attendees, location, budget, means of payment (Pro Card or Associated Account) and IIE </w:t>
      </w:r>
      <w:r w:rsidR="005B003B">
        <w:rPr>
          <w:rFonts w:ascii="Calibri" w:eastAsia="Times New Roman" w:hAnsi="Calibri" w:cs="Calibri"/>
          <w:color w:val="000000"/>
        </w:rPr>
        <w:t>O</w:t>
      </w:r>
      <w:r w:rsidRPr="005B15B1">
        <w:rPr>
          <w:rFonts w:ascii="Calibri" w:eastAsia="Times New Roman" w:hAnsi="Calibri" w:cs="Calibri"/>
          <w:color w:val="000000"/>
        </w:rPr>
        <w:t>fficer responsible for hosting event.</w:t>
      </w:r>
    </w:p>
    <w:p w14:paraId="103B8717" w14:textId="77777777" w:rsidR="005B15B1" w:rsidRPr="005B15B1" w:rsidRDefault="005B15B1" w:rsidP="005B15B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Monthly</w:t>
      </w:r>
      <w:r w:rsidR="00A40063">
        <w:rPr>
          <w:rFonts w:ascii="Calibri" w:eastAsia="Times New Roman" w:hAnsi="Calibri" w:cs="Calibri"/>
          <w:color w:val="000000"/>
        </w:rPr>
        <w:t xml:space="preserve"> proposals will be submitted to the IIE Advisor,</w:t>
      </w:r>
      <w:r w:rsidRPr="005B15B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B15B1">
        <w:rPr>
          <w:rFonts w:ascii="Calibri" w:eastAsia="Times New Roman" w:hAnsi="Calibri" w:cs="Calibri"/>
          <w:color w:val="000000"/>
        </w:rPr>
        <w:t>ISyE</w:t>
      </w:r>
      <w:proofErr w:type="spellEnd"/>
      <w:r w:rsidRPr="005B15B1">
        <w:rPr>
          <w:rFonts w:ascii="Calibri" w:eastAsia="Times New Roman" w:hAnsi="Calibri" w:cs="Calibri"/>
          <w:color w:val="000000"/>
        </w:rPr>
        <w:t xml:space="preserve"> Department chair</w:t>
      </w:r>
      <w:r w:rsidR="00A40063">
        <w:rPr>
          <w:rFonts w:ascii="Calibri" w:eastAsia="Times New Roman" w:hAnsi="Calibri" w:cs="Calibri"/>
          <w:color w:val="000000"/>
        </w:rPr>
        <w:t xml:space="preserve"> and the SLC Director</w:t>
      </w:r>
      <w:r w:rsidRPr="005B15B1">
        <w:rPr>
          <w:rFonts w:ascii="Calibri" w:eastAsia="Times New Roman" w:hAnsi="Calibri" w:cs="Calibri"/>
          <w:color w:val="000000"/>
        </w:rPr>
        <w:t>.</w:t>
      </w:r>
    </w:p>
    <w:p w14:paraId="56BA3F71" w14:textId="77777777" w:rsidR="005B15B1" w:rsidRPr="005B15B1" w:rsidRDefault="005B15B1" w:rsidP="005B15B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lastRenderedPageBreak/>
        <w:t>If any party listed above has any issue with a planned event, the officer responsible for the event must be contacted.  </w:t>
      </w:r>
    </w:p>
    <w:p w14:paraId="4220B3D5" w14:textId="77777777" w:rsidR="005B15B1" w:rsidRPr="005B15B1" w:rsidRDefault="005B15B1" w:rsidP="005B1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06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B15B1">
        <w:rPr>
          <w:rFonts w:ascii="Calibri" w:eastAsia="Times New Roman" w:hAnsi="Calibri" w:cs="Calibri"/>
          <w:color w:val="000000"/>
        </w:rPr>
        <w:t xml:space="preserve">    2. </w:t>
      </w:r>
      <w:r w:rsidRPr="005B15B1">
        <w:rPr>
          <w:rFonts w:ascii="Calibri" w:eastAsia="Times New Roman" w:hAnsi="Calibri" w:cs="Calibri"/>
          <w:color w:val="000000"/>
        </w:rPr>
        <w:tab/>
        <w:t xml:space="preserve">Attendance for all events shall be recorded.   The officer responsible for hosting </w:t>
      </w:r>
      <w:r w:rsidRPr="005B15B1">
        <w:rPr>
          <w:rFonts w:ascii="Calibri" w:eastAsia="Times New Roman" w:hAnsi="Calibri" w:cs="Calibri"/>
          <w:color w:val="000000"/>
        </w:rPr>
        <w:tab/>
        <w:t xml:space="preserve">the event is </w:t>
      </w:r>
      <w:r w:rsidR="00A84609">
        <w:rPr>
          <w:rFonts w:ascii="Calibri" w:eastAsia="Times New Roman" w:hAnsi="Calibri" w:cs="Calibri"/>
          <w:color w:val="000000"/>
        </w:rPr>
        <w:tab/>
      </w:r>
      <w:r w:rsidRPr="005B15B1">
        <w:rPr>
          <w:rFonts w:ascii="Calibri" w:eastAsia="Times New Roman" w:hAnsi="Calibri" w:cs="Calibri"/>
          <w:color w:val="000000"/>
        </w:rPr>
        <w:t>resp</w:t>
      </w:r>
      <w:r w:rsidR="005B003B">
        <w:rPr>
          <w:rFonts w:ascii="Calibri" w:eastAsia="Times New Roman" w:hAnsi="Calibri" w:cs="Calibri"/>
          <w:color w:val="000000"/>
        </w:rPr>
        <w:t xml:space="preserve">onsible for logging attendance </w:t>
      </w:r>
      <w:r w:rsidRPr="005B15B1">
        <w:rPr>
          <w:rFonts w:ascii="Calibri" w:eastAsia="Times New Roman" w:hAnsi="Calibri" w:cs="Calibri"/>
          <w:color w:val="000000"/>
        </w:rPr>
        <w:t xml:space="preserve">on </w:t>
      </w:r>
      <w:proofErr w:type="gramStart"/>
      <w:r w:rsidRPr="005B15B1">
        <w:rPr>
          <w:rFonts w:ascii="Calibri" w:eastAsia="Times New Roman" w:hAnsi="Calibri" w:cs="Calibri"/>
          <w:color w:val="000000"/>
        </w:rPr>
        <w:t>the  Event</w:t>
      </w:r>
      <w:proofErr w:type="gramEnd"/>
      <w:r w:rsidRPr="005B15B1">
        <w:rPr>
          <w:rFonts w:ascii="Calibri" w:eastAsia="Times New Roman" w:hAnsi="Calibri" w:cs="Calibri"/>
          <w:color w:val="000000"/>
        </w:rPr>
        <w:t xml:space="preserve"> Attendance Record Sheet, which is managed </w:t>
      </w:r>
      <w:r w:rsidR="00A84609">
        <w:rPr>
          <w:rFonts w:ascii="Calibri" w:eastAsia="Times New Roman" w:hAnsi="Calibri" w:cs="Calibri"/>
          <w:color w:val="000000"/>
        </w:rPr>
        <w:tab/>
      </w:r>
      <w:r w:rsidRPr="005B15B1">
        <w:rPr>
          <w:rFonts w:ascii="Calibri" w:eastAsia="Times New Roman" w:hAnsi="Calibri" w:cs="Calibri"/>
          <w:color w:val="000000"/>
        </w:rPr>
        <w:t>as a Google Document.</w:t>
      </w:r>
    </w:p>
    <w:p w14:paraId="7B9FCDCA" w14:textId="77777777" w:rsidR="005B15B1" w:rsidRPr="005B15B1" w:rsidRDefault="005B15B1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A6AF4D" w14:textId="77777777" w:rsidR="005B15B1" w:rsidRPr="005B15B1" w:rsidRDefault="005B003B" w:rsidP="005B1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noProof/>
          <w:color w:val="000000"/>
        </w:rPr>
        <w:pict w14:anchorId="7B459284">
          <v:rect id="_x0000_s1029" style="position:absolute;left:0;text-align:left;margin-left:-21.8pt;margin-top:3.1pt;width:27.65pt;height:30.15pt;z-index:251661312;v-text-anchor:middle" strokecolor="red" strokeweight="3pt">
            <v:textbox style="mso-next-textbox:#_x0000_s1029">
              <w:txbxContent>
                <w:p w14:paraId="2CFECE40" w14:textId="77777777" w:rsidR="00A40063" w:rsidRPr="000D07ED" w:rsidRDefault="00A40063" w:rsidP="00A4006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="005B15B1" w:rsidRPr="005B15B1">
        <w:rPr>
          <w:rFonts w:ascii="Calibri" w:eastAsia="Times New Roman" w:hAnsi="Calibri" w:cs="Calibri"/>
          <w:color w:val="000000"/>
        </w:rPr>
        <w:t>     3.</w:t>
      </w:r>
      <w:r w:rsidR="005B15B1" w:rsidRPr="005B15B1">
        <w:rPr>
          <w:rFonts w:ascii="Calibri" w:eastAsia="Times New Roman" w:hAnsi="Calibri" w:cs="Calibri"/>
          <w:color w:val="000000"/>
        </w:rPr>
        <w:tab/>
        <w:t xml:space="preserve">The following steps must be taken for any IIE sanctioned event in which alcohol </w:t>
      </w:r>
      <w:r w:rsidR="005B15B1" w:rsidRPr="005B15B1">
        <w:rPr>
          <w:rFonts w:ascii="Calibri" w:eastAsia="Times New Roman" w:hAnsi="Calibri" w:cs="Calibri"/>
          <w:color w:val="000000"/>
        </w:rPr>
        <w:tab/>
      </w:r>
      <w:r w:rsidR="005B15B1" w:rsidRPr="005B15B1">
        <w:rPr>
          <w:rFonts w:ascii="Calibri" w:eastAsia="Times New Roman" w:hAnsi="Calibri" w:cs="Calibri"/>
          <w:color w:val="000000"/>
        </w:rPr>
        <w:tab/>
        <w:t xml:space="preserve">may be </w:t>
      </w:r>
      <w:r w:rsidR="00A84609">
        <w:rPr>
          <w:rFonts w:ascii="Calibri" w:eastAsia="Times New Roman" w:hAnsi="Calibri" w:cs="Calibri"/>
          <w:color w:val="000000"/>
        </w:rPr>
        <w:tab/>
      </w:r>
      <w:r w:rsidR="005B15B1" w:rsidRPr="005B15B1">
        <w:rPr>
          <w:rFonts w:ascii="Calibri" w:eastAsia="Times New Roman" w:hAnsi="Calibri" w:cs="Calibri"/>
          <w:color w:val="000000"/>
        </w:rPr>
        <w:t>served, or may be available:</w:t>
      </w:r>
    </w:p>
    <w:p w14:paraId="619FEC9F" w14:textId="77777777" w:rsidR="005B15B1" w:rsidRPr="005B15B1" w:rsidRDefault="005B15B1" w:rsidP="005B15B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A licensed bartender must be on premise to ensure no underage consumption occurs for all events held on campus.</w:t>
      </w:r>
    </w:p>
    <w:p w14:paraId="4F456CD2" w14:textId="77777777" w:rsidR="005B15B1" w:rsidRPr="005B15B1" w:rsidRDefault="005B15B1" w:rsidP="005B15B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IIE Officers will be responsible for assisting staff in monitoring consumption.  Any participant whom is felt to be acting irresponsibly be either staff or IIE officers will be given a formal warning regarding their behavior.  If this behavior fails to cease the individual will be subject to both state and local laws as well as departmental and university sanctions.</w:t>
      </w:r>
    </w:p>
    <w:p w14:paraId="356CA50F" w14:textId="77777777" w:rsidR="005B15B1" w:rsidRPr="005B15B1" w:rsidRDefault="008F5C77" w:rsidP="005B15B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Alcohol may be at most 3</w:t>
      </w:r>
      <w:r w:rsidR="005B15B1" w:rsidRPr="005B15B1">
        <w:rPr>
          <w:rFonts w:ascii="Calibri" w:eastAsia="Times New Roman" w:hAnsi="Calibri" w:cs="Calibri"/>
          <w:color w:val="000000"/>
        </w:rPr>
        <w:t>0% of the total budget for an event in which alcohol is served.  The remaining budget may be composed of establishment fees as well as food and non-alcoholic beverages.</w:t>
      </w:r>
    </w:p>
    <w:p w14:paraId="2404F217" w14:textId="77777777" w:rsidR="005B15B1" w:rsidRPr="005B15B1" w:rsidRDefault="005B15B1" w:rsidP="005B15B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At an event in which alcohol is served, the attendance sheet will contain the IIE Code of Conduct (Article V; all attendees will be required to review these clauses.  By signing in, they are in effect verifying their knowledge of the rules and their associated responsibilities.)</w:t>
      </w:r>
    </w:p>
    <w:p w14:paraId="6CC81453" w14:textId="77777777" w:rsidR="005B15B1" w:rsidRPr="005B15B1" w:rsidRDefault="005B15B1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C0A84A" w14:textId="77777777" w:rsidR="005B15B1" w:rsidRPr="005B15B1" w:rsidRDefault="005B15B1" w:rsidP="005B1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color w:val="000000"/>
        </w:rPr>
        <w:t>     4.</w:t>
      </w:r>
      <w:r w:rsidRPr="005B15B1">
        <w:rPr>
          <w:rFonts w:ascii="Calibri" w:eastAsia="Times New Roman" w:hAnsi="Calibri" w:cs="Calibri"/>
          <w:color w:val="000000"/>
        </w:rPr>
        <w:tab/>
        <w:t xml:space="preserve">The following procedures shall be followed for all overnight IIE-sponsored </w:t>
      </w:r>
      <w:r w:rsidRPr="005B15B1">
        <w:rPr>
          <w:rFonts w:ascii="Calibri" w:eastAsia="Times New Roman" w:hAnsi="Calibri" w:cs="Calibri"/>
          <w:color w:val="000000"/>
        </w:rPr>
        <w:tab/>
      </w:r>
      <w:r w:rsidRPr="005B15B1">
        <w:rPr>
          <w:rFonts w:ascii="Calibri" w:eastAsia="Times New Roman" w:hAnsi="Calibri" w:cs="Calibri"/>
          <w:color w:val="000000"/>
        </w:rPr>
        <w:tab/>
        <w:t>events:</w:t>
      </w:r>
    </w:p>
    <w:p w14:paraId="44050DB4" w14:textId="77777777" w:rsidR="005B15B1" w:rsidRPr="005B15B1" w:rsidRDefault="005B15B1" w:rsidP="005B15B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UW- Fleet Vehicles will be the desired form of transportation unless otherwise approved in accordance with the Monthly Activity Proposal, detailed in Article IV-1.</w:t>
      </w:r>
    </w:p>
    <w:p w14:paraId="10EB7EAC" w14:textId="77777777" w:rsidR="005B15B1" w:rsidRPr="005B15B1" w:rsidRDefault="005B15B1" w:rsidP="005B15B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Alcohol may only be consumed by those are of age, in accordance with state and local laws.  </w:t>
      </w:r>
    </w:p>
    <w:p w14:paraId="35673C84" w14:textId="77777777" w:rsidR="005B15B1" w:rsidRPr="005B15B1" w:rsidRDefault="005B15B1" w:rsidP="005B15B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 xml:space="preserve">Wristbands shall be distributed to those who are of age to consume alcohol, and must be worn during any such period.  Those who are found to be consuming alcohol </w:t>
      </w:r>
      <w:proofErr w:type="gramStart"/>
      <w:r w:rsidRPr="005B15B1">
        <w:rPr>
          <w:rFonts w:ascii="Calibri" w:eastAsia="Times New Roman" w:hAnsi="Calibri" w:cs="Calibri"/>
          <w:color w:val="000000"/>
        </w:rPr>
        <w:t>who</w:t>
      </w:r>
      <w:proofErr w:type="gramEnd"/>
      <w:r w:rsidRPr="005B15B1">
        <w:rPr>
          <w:rFonts w:ascii="Calibri" w:eastAsia="Times New Roman" w:hAnsi="Calibri" w:cs="Calibri"/>
          <w:color w:val="000000"/>
        </w:rPr>
        <w:t xml:space="preserve"> are underage shall be given an initial warning to cease their actions.  A second violation shall result in the referral of the individual per University Regulations.</w:t>
      </w:r>
    </w:p>
    <w:p w14:paraId="548957FD" w14:textId="77777777" w:rsidR="005B15B1" w:rsidRPr="005B15B1" w:rsidRDefault="005B15B1" w:rsidP="005B15B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Attendees shall be required to sign a code of conduct contract, to be drafted under the guidelines referred to in Article V.</w:t>
      </w:r>
    </w:p>
    <w:p w14:paraId="34015C0E" w14:textId="77777777" w:rsidR="005B15B1" w:rsidRPr="005B15B1" w:rsidRDefault="005B15B1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354214" w14:textId="77777777" w:rsidR="005B15B1" w:rsidRPr="005B15B1" w:rsidRDefault="005B15B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15B1">
        <w:rPr>
          <w:rFonts w:ascii="Calibri" w:eastAsia="Times New Roman" w:hAnsi="Calibri" w:cs="Calibri"/>
          <w:b/>
          <w:bCs/>
          <w:color w:val="000000"/>
        </w:rPr>
        <w:t>ARTICLE V.</w:t>
      </w:r>
    </w:p>
    <w:p w14:paraId="1D34CD90" w14:textId="77777777" w:rsidR="005B15B1" w:rsidRPr="005B15B1" w:rsidRDefault="003903A1" w:rsidP="005B1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</w:rPr>
        <w:t>IIE CODE OF CONDUCT</w:t>
      </w:r>
    </w:p>
    <w:p w14:paraId="0DBECE0E" w14:textId="77777777" w:rsidR="005B15B1" w:rsidRPr="005B15B1" w:rsidRDefault="005B15B1" w:rsidP="005B15B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 xml:space="preserve">IIE UW-Madison Chapter recognizes the UW System Chapter 17 Procedures for Non-Academic </w:t>
      </w:r>
      <w:proofErr w:type="gramStart"/>
      <w:r w:rsidRPr="005B15B1">
        <w:rPr>
          <w:rFonts w:ascii="Calibri" w:eastAsia="Times New Roman" w:hAnsi="Calibri" w:cs="Calibri"/>
          <w:color w:val="000000"/>
        </w:rPr>
        <w:t>Misconduct</w:t>
      </w:r>
      <w:proofErr w:type="gramEnd"/>
      <w:r w:rsidRPr="005B15B1">
        <w:rPr>
          <w:rFonts w:ascii="Calibri" w:eastAsia="Times New Roman" w:hAnsi="Calibri" w:cs="Calibri"/>
          <w:color w:val="000000"/>
        </w:rPr>
        <w:t xml:space="preserve"> as it’s own code of conduct.</w:t>
      </w:r>
    </w:p>
    <w:p w14:paraId="6BF3A029" w14:textId="77777777" w:rsidR="005B15B1" w:rsidRPr="005B15B1" w:rsidRDefault="005B15B1" w:rsidP="005B15B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</w:rPr>
        <w:t>Any persons attending an IIE event, paying member or not, may be reprimanded for any actions highlighted in UWS 17.09, Conduct Subject to Disciplinary Actions which include:</w:t>
      </w:r>
    </w:p>
    <w:p w14:paraId="7C54441F" w14:textId="77777777" w:rsidR="005B15B1" w:rsidRPr="005B15B1" w:rsidRDefault="005B15B1" w:rsidP="005B15B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(1) Dangerous Conduct</w:t>
      </w:r>
    </w:p>
    <w:p w14:paraId="47C64396" w14:textId="77777777" w:rsidR="005B15B1" w:rsidRPr="005B15B1" w:rsidRDefault="005B15B1" w:rsidP="005B15B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(6) Illegal Use or Distribution of Alcohol</w:t>
      </w:r>
    </w:p>
    <w:p w14:paraId="1C1BA1BE" w14:textId="77777777" w:rsidR="005B15B1" w:rsidRPr="005B15B1" w:rsidRDefault="005B15B1" w:rsidP="005B15B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(7) Unauthorized Use of or Damage to  Property</w:t>
      </w:r>
    </w:p>
    <w:p w14:paraId="6B18BE1A" w14:textId="77777777" w:rsidR="005B15B1" w:rsidRPr="005B15B1" w:rsidRDefault="005B15B1" w:rsidP="005B15B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(8) Disruption of University- Authorized Activity</w:t>
      </w:r>
    </w:p>
    <w:p w14:paraId="2F41E19C" w14:textId="77777777" w:rsidR="005B15B1" w:rsidRPr="005B15B1" w:rsidRDefault="005B15B1" w:rsidP="005B15B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(12) Violation of Criminal Law</w:t>
      </w:r>
    </w:p>
    <w:p w14:paraId="0D78E262" w14:textId="77777777" w:rsidR="005B15B1" w:rsidRPr="005B15B1" w:rsidRDefault="005B15B1" w:rsidP="005B15B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>(15) Violation of University Rules</w:t>
      </w:r>
    </w:p>
    <w:p w14:paraId="719192BB" w14:textId="77777777" w:rsidR="005B15B1" w:rsidRPr="005B15B1" w:rsidRDefault="005B15B1" w:rsidP="005B15B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B15B1">
        <w:rPr>
          <w:rFonts w:ascii="Calibri" w:eastAsia="Times New Roman" w:hAnsi="Calibri" w:cs="Calibri"/>
          <w:color w:val="000000"/>
        </w:rPr>
        <w:t xml:space="preserve">Any person in severe violation of Article V-2 may be subject to such disciplinary actions including </w:t>
      </w:r>
      <w:r w:rsidR="00A84609">
        <w:rPr>
          <w:rFonts w:ascii="Calibri" w:eastAsia="Times New Roman" w:hAnsi="Calibri" w:cs="Calibri"/>
          <w:color w:val="000000"/>
        </w:rPr>
        <w:tab/>
      </w:r>
      <w:r w:rsidRPr="005B15B1">
        <w:rPr>
          <w:rFonts w:ascii="Calibri" w:eastAsia="Times New Roman" w:hAnsi="Calibri" w:cs="Calibri"/>
          <w:color w:val="000000"/>
        </w:rPr>
        <w:t xml:space="preserve">suspension or forfeiture of IIE membership rights, and/ or discipline highlighted in UWS 17.10, </w:t>
      </w:r>
      <w:r w:rsidR="00A84609">
        <w:rPr>
          <w:rFonts w:ascii="Calibri" w:eastAsia="Times New Roman" w:hAnsi="Calibri" w:cs="Calibri"/>
          <w:color w:val="000000"/>
        </w:rPr>
        <w:tab/>
      </w:r>
      <w:r w:rsidRPr="005B15B1">
        <w:rPr>
          <w:rFonts w:ascii="Calibri" w:eastAsia="Times New Roman" w:hAnsi="Calibri" w:cs="Calibri"/>
          <w:color w:val="000000"/>
        </w:rPr>
        <w:t>Disciplinary Sanctions which include:</w:t>
      </w:r>
    </w:p>
    <w:p w14:paraId="78B6F48F" w14:textId="77777777" w:rsidR="005B15B1" w:rsidRPr="005B15B1" w:rsidRDefault="005B15B1" w:rsidP="005B15B1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Denial of specified university privileges</w:t>
      </w:r>
    </w:p>
    <w:p w14:paraId="1DD1100E" w14:textId="77777777" w:rsidR="005B15B1" w:rsidRPr="005B15B1" w:rsidRDefault="005B15B1" w:rsidP="005B15B1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  <w:sz w:val="24"/>
          <w:szCs w:val="24"/>
        </w:rPr>
        <w:t>Educational or service sanctions</w:t>
      </w:r>
    </w:p>
    <w:p w14:paraId="7861B788" w14:textId="77777777" w:rsidR="005B15B1" w:rsidRPr="005B15B1" w:rsidRDefault="005B15B1" w:rsidP="005B15B1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  <w:sz w:val="24"/>
          <w:szCs w:val="24"/>
        </w:rPr>
        <w:t>Disciplinary probation</w:t>
      </w:r>
    </w:p>
    <w:p w14:paraId="57CAE36D" w14:textId="77777777" w:rsidR="005B15B1" w:rsidRPr="005B15B1" w:rsidRDefault="005B15B1" w:rsidP="005B15B1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  <w:sz w:val="24"/>
          <w:szCs w:val="24"/>
        </w:rPr>
        <w:t>Suspension</w:t>
      </w:r>
    </w:p>
    <w:p w14:paraId="1D83B2BA" w14:textId="77777777" w:rsidR="005B15B1" w:rsidRPr="005B15B1" w:rsidRDefault="005B15B1" w:rsidP="005B15B1">
      <w:pPr>
        <w:numPr>
          <w:ilvl w:val="0"/>
          <w:numId w:val="13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B15B1">
        <w:rPr>
          <w:rFonts w:ascii="Calibri" w:eastAsia="Times New Roman" w:hAnsi="Calibri" w:cs="Calibri"/>
          <w:color w:val="000000"/>
          <w:sz w:val="24"/>
          <w:szCs w:val="24"/>
        </w:rPr>
        <w:t>IIE Code of Conduct briefing will be given at each kickoff meeting and at events in which alcohol is served.</w:t>
      </w:r>
    </w:p>
    <w:p w14:paraId="606C5326" w14:textId="77777777" w:rsidR="00A84609" w:rsidRDefault="005B15B1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BEC0E2" w14:textId="77777777" w:rsidR="00E706C2" w:rsidRDefault="005B15B1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EFA5D0A" w14:textId="77777777" w:rsidR="00E706C2" w:rsidRDefault="00E706C2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D038A6" w14:textId="77777777" w:rsidR="00E706C2" w:rsidRDefault="00E706C2" w:rsidP="005B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1A2759" w14:textId="77777777" w:rsidR="00A84609" w:rsidRDefault="005B15B1" w:rsidP="005B15B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B15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6462AB" w14:textId="77777777" w:rsidR="001861D0" w:rsidRDefault="001861D0"/>
    <w:sectPr w:rsidR="001861D0" w:rsidSect="0018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F24718"/>
    <w:multiLevelType w:val="multilevel"/>
    <w:tmpl w:val="344A6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54C7"/>
    <w:multiLevelType w:val="multilevel"/>
    <w:tmpl w:val="4C0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C67B6"/>
    <w:multiLevelType w:val="multilevel"/>
    <w:tmpl w:val="148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40B6"/>
    <w:multiLevelType w:val="multilevel"/>
    <w:tmpl w:val="72CC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94376"/>
    <w:multiLevelType w:val="multilevel"/>
    <w:tmpl w:val="97E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76925"/>
    <w:multiLevelType w:val="multilevel"/>
    <w:tmpl w:val="136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A3F21"/>
    <w:multiLevelType w:val="multilevel"/>
    <w:tmpl w:val="4B92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E419B"/>
    <w:multiLevelType w:val="multilevel"/>
    <w:tmpl w:val="151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97D66"/>
    <w:multiLevelType w:val="multilevel"/>
    <w:tmpl w:val="003C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D6662"/>
    <w:multiLevelType w:val="multilevel"/>
    <w:tmpl w:val="24A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64D11"/>
    <w:multiLevelType w:val="multilevel"/>
    <w:tmpl w:val="A51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12AE1"/>
    <w:multiLevelType w:val="multilevel"/>
    <w:tmpl w:val="80CE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B41EE"/>
    <w:multiLevelType w:val="multilevel"/>
    <w:tmpl w:val="197AC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5B1"/>
    <w:rsid w:val="001861D0"/>
    <w:rsid w:val="00295822"/>
    <w:rsid w:val="002A3B4F"/>
    <w:rsid w:val="0032281A"/>
    <w:rsid w:val="003903A1"/>
    <w:rsid w:val="00460D05"/>
    <w:rsid w:val="0056046B"/>
    <w:rsid w:val="005B003B"/>
    <w:rsid w:val="005B15B1"/>
    <w:rsid w:val="008F5C77"/>
    <w:rsid w:val="00945566"/>
    <w:rsid w:val="00A40063"/>
    <w:rsid w:val="00A82A55"/>
    <w:rsid w:val="00A84609"/>
    <w:rsid w:val="00AC6925"/>
    <w:rsid w:val="00C75026"/>
    <w:rsid w:val="00E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DE33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D0"/>
  </w:style>
  <w:style w:type="paragraph" w:styleId="Heading1">
    <w:name w:val="heading 1"/>
    <w:basedOn w:val="Normal"/>
    <w:link w:val="Heading1Char"/>
    <w:uiPriority w:val="9"/>
    <w:qFormat/>
    <w:rsid w:val="005B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15B1"/>
  </w:style>
  <w:style w:type="paragraph" w:styleId="BalloonText">
    <w:name w:val="Balloon Text"/>
    <w:basedOn w:val="Normal"/>
    <w:link w:val="BalloonTextChar"/>
    <w:uiPriority w:val="99"/>
    <w:semiHidden/>
    <w:unhideWhenUsed/>
    <w:rsid w:val="00A4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Matthew Leslie</cp:lastModifiedBy>
  <cp:revision>10</cp:revision>
  <cp:lastPrinted>2011-09-15T01:36:00Z</cp:lastPrinted>
  <dcterms:created xsi:type="dcterms:W3CDTF">2011-06-27T01:39:00Z</dcterms:created>
  <dcterms:modified xsi:type="dcterms:W3CDTF">2012-08-19T03:54:00Z</dcterms:modified>
</cp:coreProperties>
</file>