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C2" w:rsidRDefault="008068C2" w:rsidP="008068C2">
      <w:pPr>
        <w:jc w:val="center"/>
        <w:rPr>
          <w:rFonts w:ascii="Leelawadee UI" w:hAnsi="Leelawadee UI" w:cs="Leelawadee UI"/>
          <w:sz w:val="24"/>
          <w:szCs w:val="24"/>
          <w:u w:val="single"/>
        </w:rPr>
      </w:pPr>
      <w:r>
        <w:rPr>
          <w:rFonts w:ascii="Leelawadee UI" w:hAnsi="Leelawadee UI" w:cs="Leelawadee UI"/>
          <w:sz w:val="24"/>
          <w:szCs w:val="24"/>
          <w:u w:val="single"/>
        </w:rPr>
        <w:t>Community Infrastructure Levy - Preliminary Draft Charging Schedule</w:t>
      </w:r>
    </w:p>
    <w:p w:rsidR="008068C2" w:rsidRPr="006A7628" w:rsidRDefault="008068C2" w:rsidP="008068C2">
      <w:pPr>
        <w:rPr>
          <w:rFonts w:ascii="Leelawadee UI" w:hAnsi="Leelawadee UI" w:cs="Leelawadee UI"/>
          <w:sz w:val="24"/>
          <w:szCs w:val="24"/>
          <w:u w:val="single"/>
        </w:rPr>
      </w:pPr>
      <w:r w:rsidRPr="006A7628">
        <w:rPr>
          <w:rFonts w:ascii="Leelawadee UI" w:hAnsi="Leelawadee UI" w:cs="Leelawadee UI"/>
          <w:sz w:val="24"/>
          <w:szCs w:val="24"/>
          <w:u w:val="single"/>
        </w:rPr>
        <w:t xml:space="preserve">Funding gap and charging rates </w:t>
      </w:r>
      <w:bookmarkStart w:id="0" w:name="_GoBack"/>
      <w:bookmarkEnd w:id="0"/>
    </w:p>
    <w:p w:rsidR="008068C2" w:rsidRPr="00181926" w:rsidRDefault="008068C2" w:rsidP="008068C2">
      <w:pPr>
        <w:rPr>
          <w:rFonts w:ascii="Leelawadee UI" w:hAnsi="Leelawadee UI" w:cs="Leelawadee UI"/>
          <w:sz w:val="24"/>
          <w:szCs w:val="24"/>
        </w:rPr>
      </w:pPr>
      <w:r w:rsidRPr="00181926">
        <w:rPr>
          <w:rFonts w:ascii="Leelawadee UI" w:hAnsi="Leelawadee UI" w:cs="Leelawadee UI"/>
          <w:sz w:val="24"/>
          <w:szCs w:val="24"/>
        </w:rPr>
        <w:t xml:space="preserve">The significant funding gap between the cost of infrastructure identified in the OPDC’s </w:t>
      </w:r>
      <w:r w:rsidRPr="00181926">
        <w:rPr>
          <w:rFonts w:ascii="Leelawadee UI" w:eastAsia="Times New Roman" w:hAnsi="Leelawadee UI" w:cs="Leelawadee UI"/>
          <w:iCs/>
          <w:sz w:val="24"/>
          <w:szCs w:val="24"/>
          <w:lang w:eastAsia="en-GB"/>
        </w:rPr>
        <w:t xml:space="preserve">Development and Infrastructure Funding Study </w:t>
      </w:r>
      <w:r w:rsidRPr="00181926">
        <w:rPr>
          <w:rFonts w:ascii="Leelawadee UI" w:hAnsi="Leelawadee UI" w:cs="Leelawadee UI"/>
          <w:sz w:val="24"/>
          <w:szCs w:val="24"/>
        </w:rPr>
        <w:t>(£1.5 billion) and amount that it is assessed will be collected through CIL (£380 million) is of huge concern. It is of greater concern that the recently published OPDC Review assumed</w:t>
      </w:r>
      <w:r w:rsidRPr="00181926">
        <w:rPr>
          <w:rFonts w:ascii="Leelawadee UI" w:hAnsi="Leelawadee UI" w:cs="Leelawadee UI"/>
          <w:color w:val="FF0000"/>
          <w:sz w:val="24"/>
          <w:szCs w:val="24"/>
        </w:rPr>
        <w:t xml:space="preserve"> </w:t>
      </w:r>
      <w:r w:rsidRPr="00181926">
        <w:rPr>
          <w:rFonts w:ascii="Leelawadee UI" w:hAnsi="Leelawadee UI" w:cs="Leelawadee UI"/>
          <w:sz w:val="24"/>
          <w:szCs w:val="24"/>
        </w:rPr>
        <w:t xml:space="preserve">that the gap is actually higher, at £2.5 billion. Whilst necessarily the opportunities to raise additional monies such as </w:t>
      </w:r>
      <w:proofErr w:type="spellStart"/>
      <w:r w:rsidRPr="00181926">
        <w:rPr>
          <w:rFonts w:ascii="Leelawadee UI" w:hAnsi="Leelawadee UI" w:cs="Leelawadee UI"/>
          <w:sz w:val="24"/>
          <w:szCs w:val="24"/>
        </w:rPr>
        <w:t>TiF</w:t>
      </w:r>
      <w:proofErr w:type="spellEnd"/>
      <w:r w:rsidRPr="00181926">
        <w:rPr>
          <w:rFonts w:ascii="Leelawadee UI" w:hAnsi="Leelawadee UI" w:cs="Leelawadee UI"/>
          <w:sz w:val="24"/>
          <w:szCs w:val="24"/>
        </w:rPr>
        <w:t>, Ente</w:t>
      </w:r>
      <w:r>
        <w:rPr>
          <w:rFonts w:ascii="Leelawadee UI" w:hAnsi="Leelawadee UI" w:cs="Leelawadee UI"/>
          <w:sz w:val="24"/>
          <w:szCs w:val="24"/>
        </w:rPr>
        <w:t xml:space="preserve">rprise Zones, </w:t>
      </w:r>
      <w:proofErr w:type="gramStart"/>
      <w:r>
        <w:rPr>
          <w:rFonts w:ascii="Leelawadee UI" w:hAnsi="Leelawadee UI" w:cs="Leelawadee UI"/>
          <w:sz w:val="24"/>
          <w:szCs w:val="24"/>
        </w:rPr>
        <w:t>New Homes</w:t>
      </w:r>
      <w:proofErr w:type="gramEnd"/>
      <w:r>
        <w:rPr>
          <w:rFonts w:ascii="Leelawadee UI" w:hAnsi="Leelawadee UI" w:cs="Leelawadee UI"/>
          <w:sz w:val="24"/>
          <w:szCs w:val="24"/>
        </w:rPr>
        <w:t xml:space="preserve"> bonus, </w:t>
      </w:r>
      <w:r w:rsidRPr="00181926">
        <w:rPr>
          <w:rFonts w:ascii="Leelawadee UI" w:hAnsi="Leelawadee UI" w:cs="Leelawadee UI"/>
          <w:sz w:val="24"/>
          <w:szCs w:val="24"/>
        </w:rPr>
        <w:t>a</w:t>
      </w:r>
      <w:r>
        <w:rPr>
          <w:rFonts w:ascii="Leelawadee UI" w:hAnsi="Leelawadee UI" w:cs="Leelawadee UI"/>
          <w:sz w:val="24"/>
          <w:szCs w:val="24"/>
        </w:rPr>
        <w:t>re</w:t>
      </w:r>
      <w:r w:rsidRPr="00181926">
        <w:rPr>
          <w:rFonts w:ascii="Leelawadee UI" w:hAnsi="Leelawadee UI" w:cs="Leelawadee UI"/>
          <w:sz w:val="24"/>
          <w:szCs w:val="24"/>
        </w:rPr>
        <w:t xml:space="preserve"> identified in the OPDC CIL consultation document, </w:t>
      </w:r>
      <w:r>
        <w:rPr>
          <w:rFonts w:ascii="Leelawadee UI" w:hAnsi="Leelawadee UI" w:cs="Leelawadee UI"/>
          <w:sz w:val="24"/>
          <w:szCs w:val="24"/>
        </w:rPr>
        <w:t>the</w:t>
      </w:r>
      <w:r w:rsidRPr="00181926">
        <w:rPr>
          <w:rFonts w:ascii="Leelawadee UI" w:hAnsi="Leelawadee UI" w:cs="Leelawadee UI"/>
          <w:sz w:val="24"/>
          <w:szCs w:val="24"/>
        </w:rPr>
        <w:t xml:space="preserve"> lack of clarity around</w:t>
      </w:r>
      <w:r>
        <w:rPr>
          <w:rFonts w:ascii="Leelawadee UI" w:hAnsi="Leelawadee UI" w:cs="Leelawadee UI"/>
          <w:sz w:val="24"/>
          <w:szCs w:val="24"/>
        </w:rPr>
        <w:t xml:space="preserve"> how</w:t>
      </w:r>
      <w:r w:rsidRPr="00181926">
        <w:rPr>
          <w:rFonts w:ascii="Leelawadee UI" w:hAnsi="Leelawadee UI" w:cs="Leelawadee UI"/>
          <w:sz w:val="24"/>
          <w:szCs w:val="24"/>
        </w:rPr>
        <w:t xml:space="preserve"> the </w:t>
      </w:r>
      <w:r>
        <w:rPr>
          <w:rFonts w:ascii="Leelawadee UI" w:hAnsi="Leelawadee UI" w:cs="Leelawadee UI"/>
          <w:sz w:val="24"/>
          <w:szCs w:val="24"/>
        </w:rPr>
        <w:t>actual gap will be addressed is problematic</w:t>
      </w:r>
      <w:r w:rsidRPr="00181926">
        <w:rPr>
          <w:rFonts w:ascii="Leelawadee UI" w:hAnsi="Leelawadee UI" w:cs="Leelawadee UI"/>
          <w:sz w:val="24"/>
          <w:szCs w:val="24"/>
        </w:rPr>
        <w:t xml:space="preserve">.  </w:t>
      </w:r>
    </w:p>
    <w:p w:rsidR="008068C2" w:rsidRDefault="008068C2" w:rsidP="008068C2">
      <w:pPr>
        <w:rPr>
          <w:rFonts w:ascii="Leelawadee UI" w:hAnsi="Leelawadee UI" w:cs="Leelawadee UI"/>
          <w:sz w:val="24"/>
          <w:szCs w:val="24"/>
        </w:rPr>
      </w:pPr>
      <w:r>
        <w:rPr>
          <w:rFonts w:ascii="Leelawadee UI" w:hAnsi="Leelawadee UI" w:cs="Leelawadee UI"/>
          <w:sz w:val="24"/>
          <w:szCs w:val="24"/>
        </w:rPr>
        <w:t xml:space="preserve">The growing gap would, however, suggest that </w:t>
      </w:r>
    </w:p>
    <w:p w:rsidR="008068C2" w:rsidRPr="008068C2" w:rsidRDefault="008068C2" w:rsidP="008068C2">
      <w:pPr>
        <w:pStyle w:val="NormalWeb"/>
        <w:numPr>
          <w:ilvl w:val="0"/>
          <w:numId w:val="1"/>
        </w:numPr>
        <w:shd w:val="clear" w:color="auto" w:fill="FFFFFF"/>
        <w:spacing w:before="0" w:beforeAutospacing="0" w:after="0" w:afterAutospacing="0"/>
        <w:rPr>
          <w:rFonts w:ascii="Calibri" w:hAnsi="Calibri" w:cs="Calibri"/>
          <w:color w:val="000000"/>
        </w:rPr>
      </w:pPr>
      <w:r>
        <w:rPr>
          <w:rFonts w:ascii="Leelawadee UI" w:hAnsi="Leelawadee UI" w:cs="Leelawadee UI"/>
          <w:color w:val="000000"/>
        </w:rPr>
        <w:t xml:space="preserve">consideration could be given to setting the charging schedule at the higher rates proposed in the OPDC CIL viability assessment (which for example suggests £250 per </w:t>
      </w:r>
      <w:proofErr w:type="spellStart"/>
      <w:r>
        <w:rPr>
          <w:rFonts w:ascii="Leelawadee UI" w:hAnsi="Leelawadee UI" w:cs="Leelawadee UI"/>
          <w:color w:val="000000"/>
        </w:rPr>
        <w:t>sqm</w:t>
      </w:r>
      <w:proofErr w:type="spellEnd"/>
      <w:r>
        <w:rPr>
          <w:rFonts w:ascii="Leelawadee UI" w:hAnsi="Leelawadee UI" w:cs="Leelawadee UI"/>
          <w:color w:val="000000"/>
        </w:rPr>
        <w:t xml:space="preserve"> for residential development);</w:t>
      </w:r>
    </w:p>
    <w:p w:rsidR="008068C2" w:rsidRPr="008068C2" w:rsidRDefault="008068C2" w:rsidP="008068C2">
      <w:pPr>
        <w:pStyle w:val="NormalWeb"/>
        <w:shd w:val="clear" w:color="auto" w:fill="FFFFFF"/>
        <w:spacing w:before="0" w:beforeAutospacing="0" w:after="0" w:afterAutospacing="0"/>
        <w:ind w:left="1080"/>
        <w:rPr>
          <w:rFonts w:ascii="Leelawadee UI" w:hAnsi="Leelawadee UI" w:cs="Leelawadee UI"/>
          <w:color w:val="000000"/>
          <w:sz w:val="12"/>
          <w:szCs w:val="12"/>
        </w:rPr>
      </w:pPr>
    </w:p>
    <w:p w:rsidR="008068C2" w:rsidRPr="008068C2" w:rsidRDefault="008068C2" w:rsidP="008068C2">
      <w:pPr>
        <w:pStyle w:val="NormalWeb"/>
        <w:numPr>
          <w:ilvl w:val="0"/>
          <w:numId w:val="1"/>
        </w:numPr>
        <w:shd w:val="clear" w:color="auto" w:fill="FFFFFF"/>
        <w:spacing w:before="0" w:beforeAutospacing="0" w:after="0" w:afterAutospacing="0"/>
        <w:rPr>
          <w:rFonts w:ascii="Calibri" w:hAnsi="Calibri" w:cs="Calibri"/>
          <w:color w:val="000000"/>
        </w:rPr>
      </w:pPr>
      <w:r w:rsidRPr="008068C2">
        <w:rPr>
          <w:rFonts w:ascii="Leelawadee UI" w:hAnsi="Leelawadee UI" w:cs="Leelawadee UI"/>
          <w:color w:val="000000"/>
        </w:rPr>
        <w:t>since developer requests for pre-application discussions and applications are coming in quite quickly, indicating high demand, an update on the viability assessment of April 2015 should be carried out prior to the final consultation on the CIL as this is quite likely already out of date; it is not evident that the relatively high level of knowledge about the developments coming forward* has informed the establishing of maximum rates to deliver the plan.(*</w:t>
      </w:r>
      <w:r w:rsidRPr="008068C2">
        <w:rPr>
          <w:rStyle w:val="apple-converted-space"/>
          <w:rFonts w:ascii="Leelawadee UI" w:hAnsi="Leelawadee UI" w:cs="Leelawadee UI"/>
          <w:color w:val="000000"/>
        </w:rPr>
        <w:t> </w:t>
      </w:r>
      <w:r w:rsidRPr="008068C2">
        <w:rPr>
          <w:rFonts w:ascii="Leelawadee UI" w:hAnsi="Leelawadee UI" w:cs="Leelawadee UI"/>
          <w:color w:val="000000"/>
        </w:rPr>
        <w:t>OPDC Director of Planning to MIPIM UK October 2016: sites providing more than 12,000 homes had come forward to the pre-app stage –</w:t>
      </w:r>
      <w:r w:rsidRPr="008068C2">
        <w:rPr>
          <w:rStyle w:val="apple-converted-space"/>
          <w:rFonts w:ascii="Leelawadee UI" w:hAnsi="Leelawadee UI" w:cs="Leelawadee UI"/>
          <w:color w:val="000000"/>
        </w:rPr>
        <w:t> </w:t>
      </w:r>
      <w:hyperlink r:id="rId7" w:tgtFrame="_blank" w:history="1">
        <w:r w:rsidRPr="008068C2">
          <w:rPr>
            <w:rStyle w:val="Hyperlink"/>
            <w:rFonts w:ascii="Leelawadee UI" w:hAnsi="Leelawadee UI" w:cs="Leelawadee UI"/>
            <w:color w:val="1155CC"/>
          </w:rPr>
          <w:t>lookwestlondon.com</w:t>
        </w:r>
      </w:hyperlink>
      <w:r w:rsidRPr="008068C2">
        <w:rPr>
          <w:rFonts w:ascii="Leelawadee UI" w:hAnsi="Leelawadee UI" w:cs="Leelawadee UI"/>
          <w:color w:val="000000"/>
        </w:rPr>
        <w:t>)</w:t>
      </w:r>
    </w:p>
    <w:p w:rsidR="008068C2" w:rsidRPr="008068C2" w:rsidRDefault="008068C2" w:rsidP="008068C2">
      <w:pPr>
        <w:pStyle w:val="NormalWeb"/>
        <w:shd w:val="clear" w:color="auto" w:fill="FFFFFF"/>
        <w:spacing w:before="0" w:beforeAutospacing="0" w:after="0" w:afterAutospacing="0"/>
        <w:ind w:left="1080"/>
        <w:rPr>
          <w:rFonts w:ascii="Calibri" w:hAnsi="Calibri" w:cs="Calibri"/>
          <w:color w:val="000000"/>
          <w:sz w:val="12"/>
          <w:szCs w:val="12"/>
        </w:rPr>
      </w:pPr>
    </w:p>
    <w:p w:rsidR="008068C2" w:rsidRPr="008068C2" w:rsidRDefault="008068C2" w:rsidP="008068C2">
      <w:pPr>
        <w:pStyle w:val="NormalWeb"/>
        <w:numPr>
          <w:ilvl w:val="0"/>
          <w:numId w:val="1"/>
        </w:numPr>
        <w:shd w:val="clear" w:color="auto" w:fill="FFFFFF"/>
        <w:spacing w:before="0" w:beforeAutospacing="0" w:after="0" w:afterAutospacing="0"/>
        <w:rPr>
          <w:rFonts w:ascii="Calibri" w:hAnsi="Calibri" w:cs="Calibri"/>
          <w:color w:val="000000"/>
        </w:rPr>
      </w:pPr>
      <w:r w:rsidRPr="008068C2">
        <w:rPr>
          <w:rFonts w:ascii="Leelawadee UI" w:hAnsi="Leelawadee UI" w:cs="Leelawadee UI"/>
        </w:rPr>
        <w:t xml:space="preserve">the charging rates be reviewed as often is possible through the course of the development to ensure that a greater proportion of any increased land values (as DIFS suggests will occur) will be captured through the charging schedule for the benefit of social infrastructure provision. </w:t>
      </w:r>
    </w:p>
    <w:p w:rsidR="008068C2" w:rsidRPr="008068C2" w:rsidRDefault="008068C2" w:rsidP="008068C2">
      <w:pPr>
        <w:pStyle w:val="NormalWeb"/>
        <w:shd w:val="clear" w:color="auto" w:fill="FFFFFF"/>
        <w:spacing w:before="0" w:beforeAutospacing="0" w:after="0" w:afterAutospacing="0"/>
        <w:ind w:left="1080"/>
        <w:rPr>
          <w:rFonts w:ascii="Calibri" w:hAnsi="Calibri" w:cs="Calibri"/>
          <w:color w:val="000000"/>
        </w:rPr>
      </w:pPr>
    </w:p>
    <w:p w:rsidR="008068C2" w:rsidRDefault="008068C2" w:rsidP="008068C2">
      <w:pPr>
        <w:rPr>
          <w:rFonts w:ascii="Leelawadee UI" w:hAnsi="Leelawadee UI" w:cs="Leelawadee UI"/>
          <w:sz w:val="24"/>
          <w:szCs w:val="24"/>
          <w:u w:val="single"/>
        </w:rPr>
      </w:pPr>
      <w:r w:rsidRPr="00181926">
        <w:rPr>
          <w:rFonts w:ascii="Leelawadee UI" w:hAnsi="Leelawadee UI" w:cs="Leelawadee UI"/>
          <w:sz w:val="24"/>
          <w:szCs w:val="24"/>
          <w:u w:val="single"/>
        </w:rPr>
        <w:t>Regulation 123 list</w:t>
      </w:r>
    </w:p>
    <w:p w:rsidR="008068C2" w:rsidRDefault="008068C2" w:rsidP="008068C2">
      <w:pPr>
        <w:rPr>
          <w:rFonts w:ascii="Leelawadee UI" w:hAnsi="Leelawadee UI" w:cs="Leelawadee UI"/>
          <w:sz w:val="24"/>
          <w:szCs w:val="24"/>
        </w:rPr>
      </w:pPr>
      <w:r>
        <w:rPr>
          <w:rFonts w:ascii="Leelawadee UI" w:hAnsi="Leelawadee UI" w:cs="Leelawadee UI"/>
          <w:sz w:val="24"/>
          <w:szCs w:val="24"/>
        </w:rPr>
        <w:t xml:space="preserve">While we appreciate that the regulation 123 list is not part of the CIL there would appear to be a potential imbalance in the proposed allocation of CIL funding by including large transport infrastructure projects on the list, rather than prioritising the provision of social and community infrastructure.  </w:t>
      </w:r>
    </w:p>
    <w:p w:rsidR="008068C2" w:rsidRDefault="008068C2" w:rsidP="008068C2">
      <w:pPr>
        <w:rPr>
          <w:rFonts w:ascii="Leelawadee UI" w:hAnsi="Leelawadee UI" w:cs="Leelawadee UI"/>
          <w:sz w:val="24"/>
          <w:szCs w:val="24"/>
        </w:rPr>
      </w:pPr>
      <w:r>
        <w:rPr>
          <w:rFonts w:ascii="Leelawadee UI" w:hAnsi="Leelawadee UI" w:cs="Leelawadee UI"/>
          <w:sz w:val="24"/>
          <w:szCs w:val="24"/>
        </w:rPr>
        <w:t xml:space="preserve">There are also significant omissions from this list in respect of health facilities, new schools, public open space, green space, play areas and leisure facilities that will be required (some of which were highlighted in the DIFS) to ensure the development of sustainable Lifetime Neighbourhoods.  </w:t>
      </w:r>
      <w:r w:rsidRPr="00036F32">
        <w:rPr>
          <w:rFonts w:ascii="Leelawadee UI" w:hAnsi="Leelawadee UI" w:cs="Leelawadee UI"/>
          <w:sz w:val="24"/>
          <w:szCs w:val="24"/>
          <w:u w:val="single"/>
        </w:rPr>
        <w:t>We / I</w:t>
      </w:r>
      <w:r>
        <w:rPr>
          <w:rFonts w:ascii="Leelawadee UI" w:hAnsi="Leelawadee UI" w:cs="Leelawadee UI"/>
          <w:sz w:val="24"/>
          <w:szCs w:val="24"/>
        </w:rPr>
        <w:t xml:space="preserve"> propose that </w:t>
      </w:r>
    </w:p>
    <w:p w:rsidR="008068C2" w:rsidRDefault="008068C2" w:rsidP="008068C2">
      <w:pPr>
        <w:ind w:left="993" w:hanging="709"/>
        <w:rPr>
          <w:rFonts w:ascii="Leelawadee UI" w:hAnsi="Leelawadee UI" w:cs="Leelawadee UI"/>
          <w:sz w:val="24"/>
          <w:szCs w:val="24"/>
        </w:rPr>
      </w:pPr>
      <w:r>
        <w:rPr>
          <w:rFonts w:ascii="Leelawadee UI" w:hAnsi="Leelawadee UI" w:cs="Leelawadee UI"/>
          <w:sz w:val="24"/>
          <w:szCs w:val="24"/>
        </w:rPr>
        <w:lastRenderedPageBreak/>
        <w:t>(</w:t>
      </w:r>
      <w:proofErr w:type="spellStart"/>
      <w:r>
        <w:rPr>
          <w:rFonts w:ascii="Leelawadee UI" w:hAnsi="Leelawadee UI" w:cs="Leelawadee UI"/>
          <w:sz w:val="24"/>
          <w:szCs w:val="24"/>
        </w:rPr>
        <w:t>i</w:t>
      </w:r>
      <w:proofErr w:type="spellEnd"/>
      <w:r>
        <w:rPr>
          <w:rFonts w:ascii="Leelawadee UI" w:hAnsi="Leelawadee UI" w:cs="Leelawadee UI"/>
          <w:sz w:val="24"/>
          <w:szCs w:val="24"/>
        </w:rPr>
        <w:t>)</w:t>
      </w:r>
      <w:r>
        <w:rPr>
          <w:rFonts w:ascii="Leelawadee UI" w:hAnsi="Leelawadee UI" w:cs="Leelawadee UI"/>
          <w:sz w:val="24"/>
          <w:szCs w:val="24"/>
        </w:rPr>
        <w:tab/>
        <w:t>CIL funding should be prioritised for social and community infrastructure, and alternative funding streams sought for large transport and other infrastructure elements of the development. Where these are allocated against the CIL charge it needs to be clearly demonstrated that they are not required to unlock a specific individual development, or 5 or fewer developments, in which case they can be directly chargeable to developers via S106. The funds available for community infrastructure should be protected and ring-fenced from developer pressure which comes forward in viability negotiations, and should therefore be seen as a priority for allocation via the CIL charge, to ensure that sustainable lifetime neighbourhoods will result from the development,</w:t>
      </w:r>
    </w:p>
    <w:p w:rsidR="008068C2" w:rsidRDefault="008068C2" w:rsidP="008068C2">
      <w:pPr>
        <w:ind w:left="993" w:hanging="709"/>
        <w:rPr>
          <w:rFonts w:ascii="Leelawadee UI" w:hAnsi="Leelawadee UI" w:cs="Leelawadee UI"/>
          <w:sz w:val="24"/>
          <w:szCs w:val="24"/>
        </w:rPr>
      </w:pPr>
      <w:r>
        <w:rPr>
          <w:rFonts w:ascii="Leelawadee UI" w:hAnsi="Leelawadee UI" w:cs="Leelawadee UI"/>
          <w:sz w:val="24"/>
          <w:szCs w:val="24"/>
        </w:rPr>
        <w:t xml:space="preserve">(ii) </w:t>
      </w:r>
      <w:r>
        <w:rPr>
          <w:rFonts w:ascii="Leelawadee UI" w:hAnsi="Leelawadee UI" w:cs="Leelawadee UI"/>
          <w:sz w:val="24"/>
          <w:szCs w:val="24"/>
        </w:rPr>
        <w:tab/>
      </w:r>
      <w:proofErr w:type="gramStart"/>
      <w:r>
        <w:rPr>
          <w:rFonts w:ascii="Leelawadee UI" w:hAnsi="Leelawadee UI" w:cs="Leelawadee UI"/>
          <w:sz w:val="24"/>
          <w:szCs w:val="24"/>
        </w:rPr>
        <w:t>health</w:t>
      </w:r>
      <w:proofErr w:type="gramEnd"/>
      <w:r>
        <w:rPr>
          <w:rFonts w:ascii="Leelawadee UI" w:hAnsi="Leelawadee UI" w:cs="Leelawadee UI"/>
          <w:sz w:val="24"/>
          <w:szCs w:val="24"/>
        </w:rPr>
        <w:t xml:space="preserve"> facilities, schools, green space, play space, young peoples’ and leisure facilities must be explicitly included in the list,</w:t>
      </w:r>
    </w:p>
    <w:p w:rsidR="008068C2" w:rsidRPr="001360A2" w:rsidRDefault="008068C2" w:rsidP="008068C2">
      <w:pPr>
        <w:pStyle w:val="ListParagraph"/>
        <w:numPr>
          <w:ilvl w:val="0"/>
          <w:numId w:val="2"/>
        </w:numPr>
        <w:ind w:left="993" w:hanging="709"/>
        <w:rPr>
          <w:rFonts w:ascii="Leelawadee UI" w:hAnsi="Leelawadee UI" w:cs="Leelawadee UI"/>
          <w:sz w:val="24"/>
          <w:szCs w:val="24"/>
        </w:rPr>
      </w:pPr>
      <w:proofErr w:type="gramStart"/>
      <w:r w:rsidRPr="001360A2">
        <w:rPr>
          <w:rFonts w:ascii="Leelawadee UI" w:hAnsi="Leelawadee UI" w:cs="Leelawadee UI"/>
          <w:sz w:val="24"/>
          <w:szCs w:val="24"/>
        </w:rPr>
        <w:t>the</w:t>
      </w:r>
      <w:proofErr w:type="gramEnd"/>
      <w:r w:rsidRPr="001360A2">
        <w:rPr>
          <w:rFonts w:ascii="Leelawadee UI" w:hAnsi="Leelawadee UI" w:cs="Leelawadee UI"/>
          <w:sz w:val="24"/>
          <w:szCs w:val="24"/>
        </w:rPr>
        <w:t xml:space="preserve"> OPDC Review report sugge</w:t>
      </w:r>
      <w:r>
        <w:rPr>
          <w:rFonts w:ascii="Leelawadee UI" w:hAnsi="Leelawadee UI" w:cs="Leelawadee UI"/>
          <w:sz w:val="24"/>
          <w:szCs w:val="24"/>
        </w:rPr>
        <w:t>stions</w:t>
      </w:r>
      <w:r w:rsidRPr="001360A2">
        <w:rPr>
          <w:rFonts w:ascii="Leelawadee UI" w:hAnsi="Leelawadee UI" w:cs="Leelawadee UI"/>
          <w:sz w:val="24"/>
          <w:szCs w:val="24"/>
        </w:rPr>
        <w:t xml:space="preserve"> governmental funds </w:t>
      </w:r>
      <w:r>
        <w:rPr>
          <w:rFonts w:ascii="Leelawadee UI" w:hAnsi="Leelawadee UI" w:cs="Leelawadee UI"/>
          <w:sz w:val="24"/>
          <w:szCs w:val="24"/>
        </w:rPr>
        <w:t xml:space="preserve">should be sought </w:t>
      </w:r>
      <w:r w:rsidRPr="001360A2">
        <w:rPr>
          <w:rFonts w:ascii="Leelawadee UI" w:hAnsi="Leelawadee UI" w:cs="Leelawadee UI"/>
          <w:sz w:val="24"/>
          <w:szCs w:val="24"/>
        </w:rPr>
        <w:t xml:space="preserve">to cover the high costs of transport </w:t>
      </w:r>
      <w:r>
        <w:rPr>
          <w:rFonts w:ascii="Leelawadee UI" w:hAnsi="Leelawadee UI" w:cs="Leelawadee UI"/>
          <w:sz w:val="24"/>
          <w:szCs w:val="24"/>
        </w:rPr>
        <w:t xml:space="preserve">infrastructure </w:t>
      </w:r>
      <w:r w:rsidRPr="001360A2">
        <w:rPr>
          <w:rFonts w:ascii="Leelawadee UI" w:hAnsi="Leelawadee UI" w:cs="Leelawadee UI"/>
          <w:sz w:val="24"/>
          <w:szCs w:val="24"/>
        </w:rPr>
        <w:t xml:space="preserve">(as was the case with the </w:t>
      </w:r>
      <w:proofErr w:type="spellStart"/>
      <w:r w:rsidRPr="001360A2">
        <w:rPr>
          <w:rFonts w:ascii="Leelawadee UI" w:eastAsia="Times New Roman" w:hAnsi="Leelawadee UI" w:cs="Leelawadee UI"/>
          <w:iCs/>
          <w:sz w:val="24"/>
          <w:szCs w:val="24"/>
          <w:lang w:eastAsia="en-GB"/>
        </w:rPr>
        <w:t>Ebbsfleet</w:t>
      </w:r>
      <w:proofErr w:type="spellEnd"/>
      <w:r w:rsidRPr="001360A2">
        <w:rPr>
          <w:rFonts w:ascii="Leelawadee UI" w:eastAsia="Times New Roman" w:hAnsi="Leelawadee UI" w:cs="Leelawadee UI"/>
          <w:iCs/>
          <w:sz w:val="24"/>
          <w:szCs w:val="24"/>
          <w:lang w:eastAsia="en-GB"/>
        </w:rPr>
        <w:t xml:space="preserve"> development in Kent and HS2 related development in Birmingham</w:t>
      </w:r>
      <w:r>
        <w:rPr>
          <w:rFonts w:ascii="Leelawadee UI" w:eastAsia="Times New Roman" w:hAnsi="Leelawadee UI" w:cs="Leelawadee UI"/>
          <w:iCs/>
          <w:sz w:val="24"/>
          <w:szCs w:val="24"/>
          <w:lang w:eastAsia="en-GB"/>
        </w:rPr>
        <w:t xml:space="preserve">). </w:t>
      </w:r>
      <w:r w:rsidRPr="00036F32">
        <w:rPr>
          <w:rFonts w:ascii="Leelawadee UI" w:eastAsia="Times New Roman" w:hAnsi="Leelawadee UI" w:cs="Leelawadee UI"/>
          <w:iCs/>
          <w:sz w:val="24"/>
          <w:szCs w:val="24"/>
          <w:u w:val="single"/>
          <w:lang w:eastAsia="en-GB"/>
        </w:rPr>
        <w:t>We / I</w:t>
      </w:r>
      <w:r>
        <w:rPr>
          <w:rFonts w:ascii="Leelawadee UI" w:eastAsia="Times New Roman" w:hAnsi="Leelawadee UI" w:cs="Leelawadee UI"/>
          <w:iCs/>
          <w:sz w:val="24"/>
          <w:szCs w:val="24"/>
          <w:lang w:eastAsia="en-GB"/>
        </w:rPr>
        <w:t xml:space="preserve"> support</w:t>
      </w:r>
      <w:r w:rsidRPr="001360A2">
        <w:rPr>
          <w:rFonts w:ascii="Leelawadee UI" w:eastAsia="Times New Roman" w:hAnsi="Leelawadee UI" w:cs="Leelawadee UI"/>
          <w:iCs/>
          <w:sz w:val="24"/>
          <w:szCs w:val="24"/>
          <w:lang w:eastAsia="en-GB"/>
        </w:rPr>
        <w:t xml:space="preserve"> </w:t>
      </w:r>
      <w:r>
        <w:rPr>
          <w:rFonts w:ascii="Leelawadee UI" w:eastAsia="Times New Roman" w:hAnsi="Leelawadee UI" w:cs="Leelawadee UI"/>
          <w:iCs/>
          <w:sz w:val="24"/>
          <w:szCs w:val="24"/>
          <w:lang w:eastAsia="en-GB"/>
        </w:rPr>
        <w:t>this</w:t>
      </w:r>
      <w:r w:rsidRPr="001360A2">
        <w:rPr>
          <w:rFonts w:ascii="Leelawadee UI" w:eastAsia="Times New Roman" w:hAnsi="Leelawadee UI" w:cs="Leelawadee UI"/>
          <w:iCs/>
          <w:sz w:val="24"/>
          <w:szCs w:val="24"/>
          <w:lang w:eastAsia="en-GB"/>
        </w:rPr>
        <w:t xml:space="preserve"> proposal be actioned.</w:t>
      </w:r>
    </w:p>
    <w:p w:rsidR="008068C2" w:rsidRDefault="008068C2" w:rsidP="008068C2">
      <w:pPr>
        <w:rPr>
          <w:rFonts w:ascii="Leelawadee UI" w:hAnsi="Leelawadee UI" w:cs="Leelawadee UI"/>
          <w:sz w:val="24"/>
          <w:szCs w:val="24"/>
          <w:u w:val="single"/>
        </w:rPr>
      </w:pPr>
      <w:r w:rsidRPr="001360A2">
        <w:rPr>
          <w:rFonts w:ascii="Leelawadee UI" w:hAnsi="Leelawadee UI" w:cs="Leelawadee UI"/>
          <w:sz w:val="24"/>
          <w:szCs w:val="24"/>
          <w:u w:val="single"/>
        </w:rPr>
        <w:t xml:space="preserve">Neighbourhood Portion of CIL </w:t>
      </w:r>
    </w:p>
    <w:p w:rsidR="008068C2" w:rsidRDefault="008068C2" w:rsidP="008068C2">
      <w:pPr>
        <w:rPr>
          <w:rFonts w:ascii="Leelawadee UI" w:hAnsi="Leelawadee UI" w:cs="Leelawadee UI"/>
          <w:sz w:val="24"/>
          <w:szCs w:val="24"/>
        </w:rPr>
      </w:pPr>
      <w:r>
        <w:rPr>
          <w:rFonts w:ascii="Leelawadee UI" w:hAnsi="Leelawadee UI" w:cs="Leelawadee UI"/>
          <w:sz w:val="24"/>
          <w:szCs w:val="24"/>
        </w:rPr>
        <w:t>The OPDC should clarify mechanisms around how it will engage with local communities to agree with the how best to spend the Neighbourhood Portion of CIL.</w:t>
      </w:r>
    </w:p>
    <w:p w:rsidR="008068C2" w:rsidRDefault="008068C2" w:rsidP="008068C2">
      <w:pPr>
        <w:rPr>
          <w:rFonts w:ascii="Leelawadee UI" w:hAnsi="Leelawadee UI" w:cs="Leelawadee UI"/>
          <w:sz w:val="24"/>
          <w:szCs w:val="24"/>
        </w:rPr>
      </w:pPr>
      <w:r w:rsidRPr="00036F32">
        <w:rPr>
          <w:rFonts w:ascii="Leelawadee UI" w:hAnsi="Leelawadee UI" w:cs="Leelawadee UI"/>
          <w:sz w:val="24"/>
          <w:szCs w:val="24"/>
          <w:u w:val="single"/>
        </w:rPr>
        <w:t xml:space="preserve">We / </w:t>
      </w:r>
      <w:r>
        <w:rPr>
          <w:rFonts w:ascii="Leelawadee UI" w:hAnsi="Leelawadee UI" w:cs="Leelawadee UI"/>
          <w:sz w:val="24"/>
          <w:szCs w:val="24"/>
        </w:rPr>
        <w:t xml:space="preserve">I propose that the Grand Union Alliance would be in a very good position to facilitate some engagement with resident and community sector groups on this. </w:t>
      </w:r>
    </w:p>
    <w:p w:rsidR="008068C2" w:rsidRPr="0068024D" w:rsidRDefault="008068C2" w:rsidP="008068C2">
      <w:pPr>
        <w:spacing w:before="100" w:beforeAutospacing="1" w:after="100" w:afterAutospacing="1" w:line="240" w:lineRule="auto"/>
        <w:rPr>
          <w:rFonts w:ascii="Leelawadee UI" w:hAnsi="Leelawadee UI" w:cs="Leelawadee UI"/>
          <w:iCs/>
          <w:sz w:val="24"/>
          <w:szCs w:val="24"/>
          <w:lang w:eastAsia="en-GB"/>
        </w:rPr>
      </w:pPr>
      <w:r w:rsidRPr="0068024D">
        <w:rPr>
          <w:rFonts w:ascii="Leelawadee UI" w:hAnsi="Leelawadee UI" w:cs="Leelawadee UI"/>
          <w:iCs/>
          <w:sz w:val="24"/>
          <w:szCs w:val="24"/>
          <w:u w:val="single"/>
          <w:lang w:eastAsia="en-GB"/>
        </w:rPr>
        <w:t>We</w:t>
      </w:r>
      <w:r w:rsidRPr="00036F32">
        <w:rPr>
          <w:rFonts w:ascii="Leelawadee UI" w:hAnsi="Leelawadee UI" w:cs="Leelawadee UI"/>
          <w:iCs/>
          <w:sz w:val="24"/>
          <w:szCs w:val="24"/>
          <w:u w:val="single"/>
          <w:lang w:eastAsia="en-GB"/>
        </w:rPr>
        <w:t xml:space="preserve"> / I</w:t>
      </w:r>
      <w:r w:rsidRPr="0068024D">
        <w:rPr>
          <w:rFonts w:ascii="Leelawadee UI" w:hAnsi="Leelawadee UI" w:cs="Leelawadee UI"/>
          <w:iCs/>
          <w:sz w:val="24"/>
          <w:szCs w:val="24"/>
          <w:lang w:eastAsia="en-GB"/>
        </w:rPr>
        <w:t xml:space="preserve"> look forward to being consulted </w:t>
      </w:r>
      <w:r>
        <w:rPr>
          <w:rFonts w:ascii="Leelawadee UI" w:hAnsi="Leelawadee UI" w:cs="Leelawadee UI"/>
          <w:iCs/>
          <w:sz w:val="24"/>
          <w:szCs w:val="24"/>
          <w:lang w:eastAsia="en-GB"/>
        </w:rPr>
        <w:t xml:space="preserve">early </w:t>
      </w:r>
      <w:r w:rsidRPr="0068024D">
        <w:rPr>
          <w:rFonts w:ascii="Leelawadee UI" w:hAnsi="Leelawadee UI" w:cs="Leelawadee UI"/>
          <w:iCs/>
          <w:sz w:val="24"/>
          <w:szCs w:val="24"/>
          <w:lang w:eastAsia="en-GB"/>
        </w:rPr>
        <w:t>on the promised draft supplementary planning document on planning obligation (S106 and CIL) next year as it may address some</w:t>
      </w:r>
      <w:r>
        <w:rPr>
          <w:rFonts w:ascii="Leelawadee UI" w:hAnsi="Leelawadee UI" w:cs="Leelawadee UI"/>
          <w:iCs/>
          <w:sz w:val="24"/>
          <w:szCs w:val="24"/>
          <w:lang w:eastAsia="en-GB"/>
        </w:rPr>
        <w:t xml:space="preserve"> of the issues we have raised. Hopefully</w:t>
      </w:r>
      <w:r w:rsidRPr="0068024D">
        <w:rPr>
          <w:rFonts w:ascii="Leelawadee UI" w:hAnsi="Leelawadee UI" w:cs="Leelawadee UI"/>
          <w:iCs/>
          <w:sz w:val="24"/>
          <w:szCs w:val="24"/>
          <w:lang w:eastAsia="en-GB"/>
        </w:rPr>
        <w:t xml:space="preserve"> it will provide more guidance on how the OPDC intend</w:t>
      </w:r>
      <w:r>
        <w:rPr>
          <w:rFonts w:ascii="Leelawadee UI" w:hAnsi="Leelawadee UI" w:cs="Leelawadee UI"/>
          <w:iCs/>
          <w:sz w:val="24"/>
          <w:szCs w:val="24"/>
          <w:lang w:eastAsia="en-GB"/>
        </w:rPr>
        <w:t>s</w:t>
      </w:r>
      <w:r w:rsidRPr="0068024D">
        <w:rPr>
          <w:rFonts w:ascii="Leelawadee UI" w:hAnsi="Leelawadee UI" w:cs="Leelawadee UI"/>
          <w:iCs/>
          <w:sz w:val="24"/>
          <w:szCs w:val="24"/>
          <w:lang w:eastAsia="en-GB"/>
        </w:rPr>
        <w:t xml:space="preserve"> to ensure that the infrastructure, particul</w:t>
      </w:r>
      <w:r>
        <w:rPr>
          <w:rFonts w:ascii="Leelawadee UI" w:hAnsi="Leelawadee UI" w:cs="Leelawadee UI"/>
          <w:iCs/>
          <w:sz w:val="24"/>
          <w:szCs w:val="24"/>
          <w:lang w:eastAsia="en-GB"/>
        </w:rPr>
        <w:t>arly community facilities, necessary to achieve successful and sustainable Lifetime Neighbourhoods</w:t>
      </w:r>
      <w:r w:rsidRPr="0068024D">
        <w:rPr>
          <w:rFonts w:ascii="Leelawadee UI" w:hAnsi="Leelawadee UI" w:cs="Leelawadee UI"/>
          <w:iCs/>
          <w:sz w:val="24"/>
          <w:szCs w:val="24"/>
          <w:lang w:eastAsia="en-GB"/>
        </w:rPr>
        <w:t xml:space="preserve"> will be funded and provided at the time that they are needed</w:t>
      </w:r>
      <w:r>
        <w:rPr>
          <w:rFonts w:ascii="Leelawadee UI" w:hAnsi="Leelawadee UI" w:cs="Leelawadee UI"/>
          <w:iCs/>
          <w:sz w:val="24"/>
          <w:szCs w:val="24"/>
          <w:lang w:eastAsia="en-GB"/>
        </w:rPr>
        <w:t>.</w:t>
      </w:r>
      <w:r w:rsidRPr="0068024D">
        <w:rPr>
          <w:rFonts w:ascii="Leelawadee UI" w:hAnsi="Leelawadee UI" w:cs="Leelawadee UI"/>
          <w:iCs/>
          <w:sz w:val="24"/>
          <w:szCs w:val="24"/>
          <w:lang w:eastAsia="en-GB"/>
        </w:rPr>
        <w:t xml:space="preserve"> </w:t>
      </w:r>
    </w:p>
    <w:p w:rsidR="008068C2" w:rsidRDefault="008068C2" w:rsidP="008068C2"/>
    <w:p w:rsidR="00950C35" w:rsidRDefault="00950C35"/>
    <w:sectPr w:rsidR="00950C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FF" w:rsidRDefault="005A63FF" w:rsidP="008068C2">
      <w:pPr>
        <w:spacing w:after="0" w:line="240" w:lineRule="auto"/>
      </w:pPr>
      <w:r>
        <w:separator/>
      </w:r>
    </w:p>
  </w:endnote>
  <w:endnote w:type="continuationSeparator" w:id="0">
    <w:p w:rsidR="005A63FF" w:rsidRDefault="005A63FF" w:rsidP="0080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47266"/>
      <w:docPartObj>
        <w:docPartGallery w:val="Page Numbers (Bottom of Page)"/>
        <w:docPartUnique/>
      </w:docPartObj>
    </w:sdtPr>
    <w:sdtEndPr>
      <w:rPr>
        <w:noProof/>
      </w:rPr>
    </w:sdtEndPr>
    <w:sdtContent>
      <w:p w:rsidR="008068C2" w:rsidRDefault="008068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68C2" w:rsidRDefault="00806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FF" w:rsidRDefault="005A63FF" w:rsidP="008068C2">
      <w:pPr>
        <w:spacing w:after="0" w:line="240" w:lineRule="auto"/>
      </w:pPr>
      <w:r>
        <w:separator/>
      </w:r>
    </w:p>
  </w:footnote>
  <w:footnote w:type="continuationSeparator" w:id="0">
    <w:p w:rsidR="005A63FF" w:rsidRDefault="005A63FF" w:rsidP="00806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E69"/>
    <w:multiLevelType w:val="hybridMultilevel"/>
    <w:tmpl w:val="A5729D4C"/>
    <w:lvl w:ilvl="0" w:tplc="EC9847B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3B7F9C"/>
    <w:multiLevelType w:val="hybridMultilevel"/>
    <w:tmpl w:val="04DA7150"/>
    <w:lvl w:ilvl="0" w:tplc="913C0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82"/>
    <w:rsid w:val="00310682"/>
    <w:rsid w:val="005A63FF"/>
    <w:rsid w:val="008068C2"/>
    <w:rsid w:val="0095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56596-9006-4F7C-9F0C-8E0AF3EE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C2"/>
    <w:pPr>
      <w:ind w:left="720"/>
      <w:contextualSpacing/>
    </w:pPr>
  </w:style>
  <w:style w:type="paragraph" w:styleId="NormalWeb">
    <w:name w:val="Normal (Web)"/>
    <w:basedOn w:val="Normal"/>
    <w:uiPriority w:val="99"/>
    <w:unhideWhenUsed/>
    <w:rsid w:val="00806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68C2"/>
  </w:style>
  <w:style w:type="character" w:styleId="Hyperlink">
    <w:name w:val="Hyperlink"/>
    <w:basedOn w:val="DefaultParagraphFont"/>
    <w:uiPriority w:val="99"/>
    <w:semiHidden/>
    <w:unhideWhenUsed/>
    <w:rsid w:val="008068C2"/>
    <w:rPr>
      <w:color w:val="0000FF"/>
      <w:u w:val="single"/>
    </w:rPr>
  </w:style>
  <w:style w:type="paragraph" w:styleId="Header">
    <w:name w:val="header"/>
    <w:basedOn w:val="Normal"/>
    <w:link w:val="HeaderChar"/>
    <w:uiPriority w:val="99"/>
    <w:unhideWhenUsed/>
    <w:rsid w:val="00806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C2"/>
  </w:style>
  <w:style w:type="paragraph" w:styleId="Footer">
    <w:name w:val="footer"/>
    <w:basedOn w:val="Normal"/>
    <w:link w:val="FooterChar"/>
    <w:uiPriority w:val="99"/>
    <w:unhideWhenUsed/>
    <w:rsid w:val="00806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okwestlon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3867</Characters>
  <Application>Microsoft Office Word</Application>
  <DocSecurity>0</DocSecurity>
  <Lines>32</Lines>
  <Paragraphs>9</Paragraphs>
  <ScaleCrop>false</ScaleCrop>
  <Company>Hewlett-Packard</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Psychrani</dc:creator>
  <cp:keywords/>
  <dc:description/>
  <cp:lastModifiedBy>Eva Psychrani</cp:lastModifiedBy>
  <cp:revision>2</cp:revision>
  <dcterms:created xsi:type="dcterms:W3CDTF">2016-11-23T18:34:00Z</dcterms:created>
  <dcterms:modified xsi:type="dcterms:W3CDTF">2016-11-23T18:37:00Z</dcterms:modified>
</cp:coreProperties>
</file>