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C7" w:rsidRPr="00906CC7" w:rsidRDefault="000470E9" w:rsidP="00906CC7">
      <w:pPr>
        <w:contextualSpacing/>
        <w:jc w:val="center"/>
      </w:pPr>
      <w:bookmarkStart w:id="0" w:name="_GoBack"/>
      <w:bookmarkEnd w:id="0"/>
      <w:r>
        <w:t xml:space="preserve"> </w:t>
      </w:r>
      <w:r w:rsidR="00906CC7">
        <w:t xml:space="preserve">“It was worth it, lad, if you learned something from it”: Merlin in </w:t>
      </w:r>
      <w:r w:rsidR="000A0E7A">
        <w:t xml:space="preserve">Disney’s Animated </w:t>
      </w:r>
      <w:r w:rsidR="00906CC7">
        <w:rPr>
          <w:i/>
        </w:rPr>
        <w:t>The Sword in the Stone</w:t>
      </w:r>
      <w:r w:rsidR="00906CC7">
        <w:t xml:space="preserve"> as FYC Instructor</w:t>
      </w:r>
    </w:p>
    <w:p w:rsidR="00D54B03" w:rsidRDefault="00D54B03" w:rsidP="00D54B03">
      <w:pPr>
        <w:contextualSpacing/>
        <w:rPr>
          <w:rFonts w:eastAsia="Times New Roman"/>
        </w:rPr>
      </w:pPr>
      <w:r>
        <w:tab/>
      </w:r>
      <w:r w:rsidR="00BF420D">
        <w:t xml:space="preserve">Among my first-year composition (FYC) </w:t>
      </w:r>
      <w:r w:rsidR="00245065">
        <w:t xml:space="preserve">instructor </w:t>
      </w:r>
      <w:r w:rsidR="00BF420D">
        <w:t xml:space="preserve">colleagues and me, there have been many conversations about the goals of FYC courses. </w:t>
      </w:r>
      <w:r w:rsidR="00245065">
        <w:t>We generally know the skills we should give our students</w:t>
      </w:r>
      <w:r w:rsidR="00E01988">
        <w:t>,</w:t>
      </w:r>
      <w:r w:rsidR="00E01988">
        <w:rPr>
          <w:rStyle w:val="FootnoteReference"/>
        </w:rPr>
        <w:footnoteReference w:id="1"/>
      </w:r>
      <w:r w:rsidR="00245065">
        <w:t xml:space="preserve"> but how should these skills be framed? </w:t>
      </w:r>
      <w:r w:rsidR="00BF420D">
        <w:t xml:space="preserve">Should we be teaching our students how to use writing to better understand themselves or should we be teaching our students how to use writing as a technical tool? </w:t>
      </w:r>
      <w:r>
        <w:t>Pe</w:t>
      </w:r>
      <w:r w:rsidR="00BF420D">
        <w:t>ter Elbow and David Bartholomae, in their open debate, have these same types of questions</w:t>
      </w:r>
      <w:r>
        <w:t>. Elbow’s position in this debate is best summarized when he says, “</w:t>
      </w:r>
      <w:r>
        <w:rPr>
          <w:rFonts w:eastAsia="Times New Roman"/>
        </w:rPr>
        <w:t xml:space="preserve">Many happily proclaim that there is no truth, no right answer, no right interpretation[...]. But they won’t let themselves or their students write in language tainted with the ordinary or the presence and feelings of the writer” (152). Bartholomae, on the other hand, asks the question, “Should composition programs maintain space for, reproduce the figure of, the author at a time when the figure of the author is under attack in all other departments of the academy?” (70). </w:t>
      </w:r>
      <w:r w:rsidR="00906CC7">
        <w:rPr>
          <w:rFonts w:eastAsia="Times New Roman"/>
        </w:rPr>
        <w:t>These questions, I argue, can be answered with a dash of cognitive psychologist Jerome Bruner</w:t>
      </w:r>
      <w:r w:rsidR="00DE6747">
        <w:rPr>
          <w:rStyle w:val="FootnoteReference"/>
          <w:rFonts w:eastAsia="Times New Roman"/>
        </w:rPr>
        <w:footnoteReference w:id="2"/>
      </w:r>
      <w:r w:rsidR="00906CC7">
        <w:rPr>
          <w:rFonts w:eastAsia="Times New Roman"/>
        </w:rPr>
        <w:t xml:space="preserve"> and an image of Merlin as teacher</w:t>
      </w:r>
      <w:r w:rsidR="00DE6747">
        <w:rPr>
          <w:rStyle w:val="FootnoteReference"/>
          <w:rFonts w:eastAsia="Times New Roman"/>
        </w:rPr>
        <w:footnoteReference w:id="3"/>
      </w:r>
      <w:r w:rsidR="00906CC7">
        <w:rPr>
          <w:rFonts w:eastAsia="Times New Roman"/>
        </w:rPr>
        <w:t xml:space="preserve">. </w:t>
      </w:r>
      <w:r>
        <w:rPr>
          <w:rFonts w:eastAsia="Times New Roman"/>
        </w:rPr>
        <w:t xml:space="preserve">In this paper, </w:t>
      </w:r>
      <w:r w:rsidR="00BF420D">
        <w:rPr>
          <w:rFonts w:eastAsia="Times New Roman"/>
        </w:rPr>
        <w:t>I suggest that the relationship between Arthur and Merlin in Disney’s</w:t>
      </w:r>
      <w:r w:rsidR="000A0E7A">
        <w:rPr>
          <w:rFonts w:eastAsia="Times New Roman"/>
        </w:rPr>
        <w:t xml:space="preserve"> animated film</w:t>
      </w:r>
      <w:r w:rsidR="00BF420D">
        <w:rPr>
          <w:rFonts w:eastAsia="Times New Roman"/>
        </w:rPr>
        <w:t xml:space="preserve"> </w:t>
      </w:r>
      <w:r w:rsidR="00BF420D">
        <w:rPr>
          <w:rFonts w:eastAsia="Times New Roman"/>
          <w:i/>
        </w:rPr>
        <w:t>The Sword in the Stone</w:t>
      </w:r>
      <w:r w:rsidR="00BF420D">
        <w:rPr>
          <w:rFonts w:eastAsia="Times New Roman"/>
        </w:rPr>
        <w:t xml:space="preserve"> is the kind of relationship Bruner would recommend as the model for student-instructor relationships.</w:t>
      </w:r>
      <w:r w:rsidR="00953247">
        <w:rPr>
          <w:rFonts w:eastAsia="Times New Roman"/>
        </w:rPr>
        <w:t xml:space="preserve"> I will consider how Merlin </w:t>
      </w:r>
      <w:r w:rsidR="00906CC7">
        <w:rPr>
          <w:rFonts w:eastAsia="Times New Roman"/>
        </w:rPr>
        <w:t>begins his tutelage of Arthur as a Barholomae figure, then uses a version of Elbow’s believing game when he transforms Arthur into animals,</w:t>
      </w:r>
      <w:r w:rsidR="00953247">
        <w:rPr>
          <w:rFonts w:eastAsia="Times New Roman"/>
        </w:rPr>
        <w:t xml:space="preserve"> </w:t>
      </w:r>
      <w:r w:rsidR="00906CC7">
        <w:rPr>
          <w:rFonts w:eastAsia="Times New Roman"/>
        </w:rPr>
        <w:t>and then exhibits Bruner-like teacher characteristics when</w:t>
      </w:r>
      <w:r w:rsidR="00F40934">
        <w:rPr>
          <w:rFonts w:eastAsia="Times New Roman"/>
        </w:rPr>
        <w:t xml:space="preserve"> battling with </w:t>
      </w:r>
      <w:r w:rsidR="00906CC7">
        <w:rPr>
          <w:rFonts w:eastAsia="Times New Roman"/>
        </w:rPr>
        <w:t xml:space="preserve">Madame Mim while Arthur watches. </w:t>
      </w:r>
      <w:r w:rsidR="00E54D3C">
        <w:rPr>
          <w:rFonts w:eastAsia="Times New Roman"/>
        </w:rPr>
        <w:t xml:space="preserve">I argue that Merlin, with </w:t>
      </w:r>
      <w:r w:rsidR="00E54D3C">
        <w:rPr>
          <w:rFonts w:eastAsia="Times New Roman"/>
        </w:rPr>
        <w:lastRenderedPageBreak/>
        <w:t xml:space="preserve">the help of </w:t>
      </w:r>
      <w:r w:rsidR="00DD3BBF">
        <w:rPr>
          <w:rFonts w:eastAsia="Times New Roman"/>
        </w:rPr>
        <w:t xml:space="preserve">his owl, </w:t>
      </w:r>
      <w:r w:rsidR="00E54D3C">
        <w:rPr>
          <w:rFonts w:eastAsia="Times New Roman"/>
        </w:rPr>
        <w:t xml:space="preserve">Archimedes, </w:t>
      </w:r>
      <w:r w:rsidR="00C21329">
        <w:rPr>
          <w:rFonts w:eastAsia="Times New Roman"/>
        </w:rPr>
        <w:t>shows a range</w:t>
      </w:r>
      <w:r w:rsidR="00E54D3C">
        <w:rPr>
          <w:rFonts w:eastAsia="Times New Roman"/>
        </w:rPr>
        <w:t xml:space="preserve"> as a teacher and a similar</w:t>
      </w:r>
      <w:r w:rsidR="00C21329">
        <w:rPr>
          <w:rFonts w:eastAsia="Times New Roman"/>
        </w:rPr>
        <w:t xml:space="preserve"> range</w:t>
      </w:r>
      <w:r w:rsidR="00E54D3C">
        <w:rPr>
          <w:rFonts w:eastAsia="Times New Roman"/>
        </w:rPr>
        <w:t xml:space="preserve"> is necessary for a FYC instructor.</w:t>
      </w:r>
    </w:p>
    <w:p w:rsidR="00247B0E" w:rsidRDefault="0032181C" w:rsidP="00247B0E">
      <w:pPr>
        <w:contextualSpacing/>
        <w:rPr>
          <w:rFonts w:eastAsia="Times New Roman"/>
        </w:rPr>
      </w:pPr>
      <w:r>
        <w:rPr>
          <w:rFonts w:eastAsia="Times New Roman"/>
        </w:rPr>
        <w:tab/>
        <w:t xml:space="preserve">In </w:t>
      </w:r>
      <w:r w:rsidR="00E02C87">
        <w:rPr>
          <w:rFonts w:eastAsia="Times New Roman"/>
        </w:rPr>
        <w:t>“The Functions of Teaching</w:t>
      </w:r>
      <w:r w:rsidR="00247B0E">
        <w:rPr>
          <w:rFonts w:eastAsia="Times New Roman"/>
        </w:rPr>
        <w:t xml:space="preserve">” delivered at Rhode Island College of Education in 1959, Jerome Bruner identifies himself as a source for instructors looking for theory to inform their teaching personas. </w:t>
      </w:r>
      <w:r w:rsidR="000A0E7A">
        <w:rPr>
          <w:rFonts w:eastAsia="Times New Roman"/>
        </w:rPr>
        <w:t>H</w:t>
      </w:r>
      <w:r w:rsidR="00247B0E">
        <w:rPr>
          <w:rFonts w:eastAsia="Times New Roman"/>
        </w:rPr>
        <w:t>e says that the teacher must recognize the individuality of the student in order to safely lead the student through error to real learning (31-2). Bruner advocates for an explanation of the logical structures that underlie the conventions that seem at first glance to be rote memorization. He applies this idea to spelling (32), but it applies equally to academic discourse</w:t>
      </w:r>
      <w:r w:rsidR="00E02C87">
        <w:rPr>
          <w:rFonts w:eastAsia="Times New Roman"/>
        </w:rPr>
        <w:t>. Bruner’s call,</w:t>
      </w:r>
      <w:r w:rsidR="00247B0E">
        <w:rPr>
          <w:rFonts w:eastAsia="Times New Roman"/>
        </w:rPr>
        <w:t xml:space="preserve"> then, is to revolutionize schooling so that it is no longer a rote activity filled with drudgery.</w:t>
      </w:r>
      <w:r w:rsidR="00E02C87">
        <w:rPr>
          <w:rFonts w:eastAsia="Times New Roman"/>
        </w:rPr>
        <w:t xml:space="preserve"> Instructors should not water down instruction but instead should attempt to internalize in their students “a sense of the instructiveness of error” (38).</w:t>
      </w:r>
      <w:r w:rsidR="000A0E7A">
        <w:rPr>
          <w:rFonts w:eastAsia="Times New Roman"/>
        </w:rPr>
        <w:t xml:space="preserve"> Elbow and Bartholomae are both satisfied, then. The individual is still important like Elbow wants, and the teacher teaches the student structures of discourse like Bartholomae wants.</w:t>
      </w:r>
    </w:p>
    <w:p w:rsidR="0032181C" w:rsidRDefault="00247B0E" w:rsidP="00247B0E">
      <w:pPr>
        <w:ind w:firstLine="720"/>
        <w:contextualSpacing/>
        <w:rPr>
          <w:rFonts w:eastAsia="Times New Roman"/>
        </w:rPr>
      </w:pPr>
      <w:r>
        <w:rPr>
          <w:rFonts w:eastAsia="Times New Roman"/>
        </w:rPr>
        <w:t>Bruner tells of an experiment in instruction on fifth graders learning geography. The fifth graders were given a rough sketch of a map of the North Central states and asked to locate where the cities were most likely to be without “looking up the facts.” “To at least half a dozen children in the class it is not a matter of indifference that no big city is to be found at the junction of Lake Huron, Lake Michigan, and Lake Ontario. They were slightly shaken up transportation theorists when the facts were in,” Bruner finishes his account of this experiment (36).</w:t>
      </w:r>
    </w:p>
    <w:p w:rsidR="00E02C87" w:rsidRDefault="00525847" w:rsidP="00247B0E">
      <w:pPr>
        <w:ind w:firstLine="720"/>
        <w:contextualSpacing/>
        <w:rPr>
          <w:rFonts w:eastAsia="Times New Roman"/>
        </w:rPr>
      </w:pPr>
      <w:r>
        <w:rPr>
          <w:rFonts w:eastAsia="Times New Roman"/>
        </w:rPr>
        <w:t>When he introduces</w:t>
      </w:r>
      <w:r w:rsidR="00E02C87">
        <w:rPr>
          <w:rFonts w:eastAsia="Times New Roman"/>
        </w:rPr>
        <w:t xml:space="preserve"> his idea of “instructiveness of error</w:t>
      </w:r>
      <w:r>
        <w:rPr>
          <w:rFonts w:eastAsia="Times New Roman"/>
        </w:rPr>
        <w:t>,</w:t>
      </w:r>
      <w:r w:rsidR="00E02C87">
        <w:rPr>
          <w:rFonts w:eastAsia="Times New Roman"/>
        </w:rPr>
        <w:t>”</w:t>
      </w:r>
      <w:r>
        <w:rPr>
          <w:rFonts w:eastAsia="Times New Roman"/>
        </w:rPr>
        <w:t xml:space="preserve"> Bruner gives</w:t>
      </w:r>
      <w:r w:rsidR="00E02C87">
        <w:rPr>
          <w:rFonts w:eastAsia="Times New Roman"/>
        </w:rPr>
        <w:t xml:space="preserve"> the example of a student learning about whether a mushroom is poisonous or not. “In short, the teacher states in one way or another that eating this particular thing will kill you or not kill you as the case may be</w:t>
      </w:r>
      <w:r>
        <w:rPr>
          <w:rFonts w:eastAsia="Times New Roman"/>
        </w:rPr>
        <w:t>,</w:t>
      </w:r>
      <w:r w:rsidR="00E02C87">
        <w:rPr>
          <w:rFonts w:eastAsia="Times New Roman"/>
        </w:rPr>
        <w:t>”</w:t>
      </w:r>
      <w:r>
        <w:rPr>
          <w:rFonts w:eastAsia="Times New Roman"/>
        </w:rPr>
        <w:t xml:space="preserve"> Bruner writes</w:t>
      </w:r>
      <w:r w:rsidR="00E02C87">
        <w:rPr>
          <w:rFonts w:eastAsia="Times New Roman"/>
        </w:rPr>
        <w:t xml:space="preserve"> (32). Merlin </w:t>
      </w:r>
      <w:r>
        <w:rPr>
          <w:rFonts w:eastAsia="Times New Roman"/>
        </w:rPr>
        <w:t xml:space="preserve">comes to mind as an instructor who allows Arthur controlled </w:t>
      </w:r>
      <w:r>
        <w:rPr>
          <w:rFonts w:eastAsia="Times New Roman"/>
        </w:rPr>
        <w:lastRenderedPageBreak/>
        <w:t xml:space="preserve">errors. When he transforms Arthur into a fish, Merlin does not provide Arthur with protection from predators. </w:t>
      </w:r>
      <w:r w:rsidR="00DD3BBF">
        <w:rPr>
          <w:rFonts w:eastAsia="Times New Roman"/>
        </w:rPr>
        <w:t>However, there is a general feeling that the danger from predators is not real because even when Merlin has not foreseen the danger, there are systems in place that protect Arthur (in this case, Archimedes).</w:t>
      </w:r>
    </w:p>
    <w:p w:rsidR="00555932" w:rsidRDefault="00525847" w:rsidP="00DE6747">
      <w:pPr>
        <w:spacing w:before="240"/>
        <w:ind w:firstLine="720"/>
        <w:contextualSpacing/>
        <w:rPr>
          <w:rFonts w:eastAsia="Times New Roman"/>
        </w:rPr>
      </w:pPr>
      <w:r>
        <w:rPr>
          <w:rFonts w:eastAsia="Times New Roman"/>
        </w:rPr>
        <w:t xml:space="preserve">Indeed, </w:t>
      </w:r>
      <w:r w:rsidR="00AB68D5">
        <w:rPr>
          <w:rFonts w:eastAsia="Times New Roman"/>
        </w:rPr>
        <w:t xml:space="preserve">Arthur is a great analogue for </w:t>
      </w:r>
      <w:r w:rsidR="00E274D7">
        <w:rPr>
          <w:rFonts w:eastAsia="Times New Roman"/>
        </w:rPr>
        <w:t xml:space="preserve">students in </w:t>
      </w:r>
      <w:r w:rsidR="004E29E4">
        <w:rPr>
          <w:rFonts w:eastAsia="Times New Roman"/>
        </w:rPr>
        <w:t>FYC</w:t>
      </w:r>
      <w:r w:rsidR="00555932">
        <w:rPr>
          <w:rFonts w:eastAsia="Times New Roman"/>
        </w:rPr>
        <w:t xml:space="preserve"> </w:t>
      </w:r>
      <w:r w:rsidR="00E274D7">
        <w:rPr>
          <w:rFonts w:eastAsia="Times New Roman"/>
        </w:rPr>
        <w:t>courses</w:t>
      </w:r>
      <w:r w:rsidR="005D3292">
        <w:rPr>
          <w:rFonts w:eastAsia="Times New Roman"/>
        </w:rPr>
        <w:t>, and magic is an excellent</w:t>
      </w:r>
      <w:r w:rsidR="00946C9B">
        <w:rPr>
          <w:rFonts w:eastAsia="Times New Roman"/>
        </w:rPr>
        <w:t xml:space="preserve"> analogue for academic knowledge</w:t>
      </w:r>
      <w:r w:rsidR="00E274D7">
        <w:rPr>
          <w:rFonts w:eastAsia="Times New Roman"/>
        </w:rPr>
        <w:t>.</w:t>
      </w:r>
      <w:r w:rsidR="00946C9B">
        <w:rPr>
          <w:rStyle w:val="FootnoteReference"/>
          <w:rFonts w:eastAsia="Times New Roman"/>
        </w:rPr>
        <w:footnoteReference w:id="4"/>
      </w:r>
      <w:r w:rsidR="00E274D7">
        <w:rPr>
          <w:rFonts w:eastAsia="Times New Roman"/>
        </w:rPr>
        <w:t xml:space="preserve"> </w:t>
      </w:r>
      <w:r w:rsidR="00AB68D5">
        <w:rPr>
          <w:rFonts w:eastAsia="Times New Roman"/>
        </w:rPr>
        <w:t xml:space="preserve"> </w:t>
      </w:r>
      <w:r w:rsidR="00E274D7">
        <w:rPr>
          <w:rFonts w:eastAsia="Times New Roman"/>
        </w:rPr>
        <w:t>The film opens with Arthur boasting of his courage, saying boldly, “I’m not afraid [of wolves],” before going into a densely forested area to recover an arrow for Kay. This choice ends in Arthur stumbling into the home of Merlin who has foreseen that he will gain a pupil on this day</w:t>
      </w:r>
      <w:r w:rsidR="00A158FA">
        <w:rPr>
          <w:rFonts w:eastAsia="Times New Roman"/>
        </w:rPr>
        <w:t xml:space="preserve"> (8:45)</w:t>
      </w:r>
      <w:r w:rsidR="00E274D7">
        <w:rPr>
          <w:rFonts w:eastAsia="Times New Roman"/>
        </w:rPr>
        <w:t xml:space="preserve">. How is this any different than first-year composition courses? As an instructor of such a course, I know the day when I will begin to teach my students, but I don’t really </w:t>
      </w:r>
      <w:r w:rsidR="00E274D7">
        <w:rPr>
          <w:rFonts w:eastAsia="Times New Roman"/>
          <w:i/>
        </w:rPr>
        <w:t>know</w:t>
      </w:r>
      <w:r w:rsidR="00E274D7">
        <w:rPr>
          <w:rFonts w:eastAsia="Times New Roman"/>
        </w:rPr>
        <w:t xml:space="preserve"> my students until the course begins.</w:t>
      </w:r>
      <w:r w:rsidR="00555932">
        <w:rPr>
          <w:rFonts w:eastAsia="Times New Roman"/>
        </w:rPr>
        <w:t xml:space="preserve"> </w:t>
      </w:r>
      <w:r w:rsidR="00C21329">
        <w:rPr>
          <w:rFonts w:eastAsia="Times New Roman"/>
        </w:rPr>
        <w:t>And some of my students come to my class courageousl</w:t>
      </w:r>
      <w:r w:rsidR="00423570">
        <w:rPr>
          <w:rFonts w:eastAsia="Times New Roman"/>
        </w:rPr>
        <w:t>y expecting a</w:t>
      </w:r>
      <w:r w:rsidR="00C21329">
        <w:rPr>
          <w:rFonts w:eastAsia="Times New Roman"/>
        </w:rPr>
        <w:t xml:space="preserve"> wolf that is the red pen taken to their writing.</w:t>
      </w:r>
      <w:r w:rsidR="00084BA9">
        <w:rPr>
          <w:rFonts w:eastAsia="Times New Roman"/>
        </w:rPr>
        <w:t xml:space="preserve"> </w:t>
      </w:r>
      <w:r w:rsidR="0034337A">
        <w:rPr>
          <w:rFonts w:eastAsia="Times New Roman"/>
        </w:rPr>
        <w:t xml:space="preserve">Recognizing the importance of the mechanics of knowledge, </w:t>
      </w:r>
      <w:r w:rsidR="00555932">
        <w:rPr>
          <w:rFonts w:eastAsia="Times New Roman"/>
        </w:rPr>
        <w:t xml:space="preserve">Merlin packs away many books and other utensils in order to teach Arthur and then follows him back to the castle where he </w:t>
      </w:r>
      <w:r w:rsidR="005459A3">
        <w:rPr>
          <w:rFonts w:eastAsia="Times New Roman"/>
        </w:rPr>
        <w:t>lives and works</w:t>
      </w:r>
      <w:r w:rsidR="00AB4CC4">
        <w:rPr>
          <w:rFonts w:eastAsia="Times New Roman"/>
        </w:rPr>
        <w:t xml:space="preserve"> (14:30)</w:t>
      </w:r>
      <w:r w:rsidR="00555932">
        <w:rPr>
          <w:rFonts w:eastAsia="Times New Roman"/>
        </w:rPr>
        <w:t>. This action, then, is the extreme version of Bartholomae (and perhaps Elbow’s conception of his views)—that it is the job of the instructor (or Merlin) to disseminate to the student (or Arthur) all of the academic (or magical) knowledge the instructor contains.</w:t>
      </w:r>
      <w:r w:rsidR="00A038BE">
        <w:rPr>
          <w:rFonts w:eastAsia="Times New Roman"/>
        </w:rPr>
        <w:t xml:space="preserve"> Indeed, Elbow, in a response to Bartholomae, says “</w:t>
      </w:r>
      <w:r w:rsidR="00A038BE">
        <w:t xml:space="preserve">this [academic writing] training isn't feasible or desirable in a </w:t>
      </w:r>
      <w:r w:rsidR="00A038BE" w:rsidRPr="00084BA9">
        <w:rPr>
          <w:i/>
        </w:rPr>
        <w:t>one</w:t>
      </w:r>
      <w:r w:rsidR="00A038BE">
        <w:t xml:space="preserve"> semester first year introductory writing courses</w:t>
      </w:r>
      <w:r w:rsidR="00A158FA">
        <w:t>” (87</w:t>
      </w:r>
      <w:r w:rsidR="00084BA9">
        <w:t>, emphasis in original, sic</w:t>
      </w:r>
      <w:r w:rsidR="00A158FA">
        <w:t>). Merlin cannot expect Arthur to</w:t>
      </w:r>
      <w:r w:rsidR="00C21329">
        <w:t xml:space="preserve"> read all of those books in one semester</w:t>
      </w:r>
      <w:r w:rsidR="00A158FA">
        <w:t>.</w:t>
      </w:r>
    </w:p>
    <w:p w:rsidR="00555932" w:rsidRDefault="00555932" w:rsidP="001B32E3">
      <w:pPr>
        <w:spacing w:before="240"/>
        <w:contextualSpacing/>
        <w:rPr>
          <w:rFonts w:eastAsia="Times New Roman"/>
        </w:rPr>
      </w:pPr>
      <w:r>
        <w:rPr>
          <w:rFonts w:eastAsia="Times New Roman"/>
        </w:rPr>
        <w:tab/>
        <w:t>Mer</w:t>
      </w:r>
      <w:r w:rsidR="00A158FA">
        <w:rPr>
          <w:rFonts w:eastAsia="Times New Roman"/>
        </w:rPr>
        <w:t>lin, then</w:t>
      </w:r>
      <w:r w:rsidR="001B32E3">
        <w:rPr>
          <w:rFonts w:eastAsia="Times New Roman"/>
        </w:rPr>
        <w:t>,</w:t>
      </w:r>
      <w:r w:rsidR="00F770F3">
        <w:rPr>
          <w:rFonts w:eastAsia="Times New Roman"/>
        </w:rPr>
        <w:t xml:space="preserve"> just like</w:t>
      </w:r>
      <w:r w:rsidR="001B32E3">
        <w:rPr>
          <w:rFonts w:eastAsia="Times New Roman"/>
        </w:rPr>
        <w:t xml:space="preserve"> instructors of FYC</w:t>
      </w:r>
      <w:r w:rsidR="005D3292">
        <w:rPr>
          <w:rFonts w:eastAsia="Times New Roman"/>
        </w:rPr>
        <w:t>,</w:t>
      </w:r>
      <w:r>
        <w:rPr>
          <w:rFonts w:eastAsia="Times New Roman"/>
        </w:rPr>
        <w:t xml:space="preserve"> </w:t>
      </w:r>
      <w:r w:rsidR="001B32E3">
        <w:rPr>
          <w:rFonts w:eastAsia="Times New Roman"/>
        </w:rPr>
        <w:t>struggle</w:t>
      </w:r>
      <w:r w:rsidR="00F770F3">
        <w:rPr>
          <w:rFonts w:eastAsia="Times New Roman"/>
        </w:rPr>
        <w:t>s with the fact that his</w:t>
      </w:r>
      <w:r w:rsidR="001B32E3">
        <w:rPr>
          <w:rFonts w:eastAsia="Times New Roman"/>
        </w:rPr>
        <w:t xml:space="preserve"> pupil</w:t>
      </w:r>
      <w:r w:rsidR="00F770F3">
        <w:rPr>
          <w:rFonts w:eastAsia="Times New Roman"/>
        </w:rPr>
        <w:t xml:space="preserve"> is</w:t>
      </w:r>
      <w:r w:rsidR="001B32E3">
        <w:rPr>
          <w:rFonts w:eastAsia="Times New Roman"/>
        </w:rPr>
        <w:t xml:space="preserve"> in no way </w:t>
      </w:r>
      <w:r w:rsidR="00F770F3">
        <w:rPr>
          <w:rFonts w:eastAsia="Times New Roman"/>
        </w:rPr>
        <w:t>a complete blank slate</w:t>
      </w:r>
      <w:r w:rsidR="001B32E3">
        <w:rPr>
          <w:rFonts w:eastAsia="Times New Roman"/>
        </w:rPr>
        <w:t xml:space="preserve">. Jerome Bruner </w:t>
      </w:r>
      <w:r w:rsidR="008A681F">
        <w:rPr>
          <w:rFonts w:eastAsia="Times New Roman"/>
        </w:rPr>
        <w:t>observes this</w:t>
      </w:r>
      <w:r w:rsidR="001B32E3">
        <w:rPr>
          <w:rFonts w:eastAsia="Times New Roman"/>
        </w:rPr>
        <w:t xml:space="preserve"> struggle when he theorizes about the “reader”</w:t>
      </w:r>
      <w:r w:rsidR="00C21329">
        <w:rPr>
          <w:rFonts w:eastAsia="Times New Roman"/>
        </w:rPr>
        <w:t xml:space="preserve"> in his essay “Two Modes of Thought”</w:t>
      </w:r>
      <w:r w:rsidR="00C21329">
        <w:rPr>
          <w:rStyle w:val="FootnoteReference"/>
          <w:rFonts w:eastAsia="Times New Roman"/>
        </w:rPr>
        <w:footnoteReference w:id="5"/>
      </w:r>
      <w:r w:rsidR="001B32E3">
        <w:rPr>
          <w:rFonts w:eastAsia="Times New Roman"/>
        </w:rPr>
        <w:t xml:space="preserve">: “As our readers read, as they begin to construct a virtual text of their own, it is as if they were embarking on a journey without maps—and yet, they possess a stock of maps that </w:t>
      </w:r>
      <w:r w:rsidR="001B32E3">
        <w:rPr>
          <w:rFonts w:eastAsia="Times New Roman"/>
          <w:i/>
        </w:rPr>
        <w:t>might</w:t>
      </w:r>
      <w:r w:rsidR="001B32E3">
        <w:rPr>
          <w:rFonts w:eastAsia="Times New Roman"/>
        </w:rPr>
        <w:t xml:space="preserve"> give hints, and besides, they know a lot about journeys and about mapmaking” (36</w:t>
      </w:r>
      <w:r w:rsidR="00084BA9">
        <w:rPr>
          <w:rFonts w:eastAsia="Times New Roman"/>
        </w:rPr>
        <w:t>, emphasis in original</w:t>
      </w:r>
      <w:r w:rsidR="001B32E3">
        <w:rPr>
          <w:rFonts w:eastAsia="Times New Roman"/>
        </w:rPr>
        <w:t xml:space="preserve">). </w:t>
      </w:r>
    </w:p>
    <w:p w:rsidR="007F190F" w:rsidRDefault="007F190F" w:rsidP="001B32E3">
      <w:pPr>
        <w:spacing w:before="240"/>
        <w:contextualSpacing/>
        <w:rPr>
          <w:rFonts w:eastAsia="Times New Roman"/>
        </w:rPr>
      </w:pPr>
      <w:r>
        <w:rPr>
          <w:rFonts w:eastAsia="Times New Roman"/>
        </w:rPr>
        <w:tab/>
        <w:t xml:space="preserve">Merlin is surprised to learn that he has misjudged what experiences and knowledge with which Arthur </w:t>
      </w:r>
      <w:r w:rsidR="007C4D93">
        <w:rPr>
          <w:rFonts w:eastAsia="Times New Roman"/>
        </w:rPr>
        <w:t>has entered</w:t>
      </w:r>
      <w:r>
        <w:rPr>
          <w:rFonts w:eastAsia="Times New Roman"/>
        </w:rPr>
        <w:t xml:space="preserve"> his tutelage.</w:t>
      </w:r>
      <w:r w:rsidR="008170AF">
        <w:rPr>
          <w:rFonts w:eastAsia="Times New Roman"/>
        </w:rPr>
        <w:t xml:space="preserve"> </w:t>
      </w:r>
      <w:r w:rsidR="00F770F3">
        <w:rPr>
          <w:rFonts w:eastAsia="Times New Roman"/>
        </w:rPr>
        <w:t xml:space="preserve">When he </w:t>
      </w:r>
      <w:r w:rsidR="003E7750">
        <w:rPr>
          <w:rFonts w:eastAsia="Times New Roman"/>
        </w:rPr>
        <w:t>see</w:t>
      </w:r>
      <w:r w:rsidR="00F770F3">
        <w:rPr>
          <w:rFonts w:eastAsia="Times New Roman"/>
        </w:rPr>
        <w:t>s Arthur’s excitement observing his foster-brother Kay joust, Merlin realizes that he has to break out heavy artillery—magic—if he hopes to teach Arthur (26</w:t>
      </w:r>
      <w:r w:rsidR="003E7750">
        <w:rPr>
          <w:rFonts w:eastAsia="Times New Roman"/>
        </w:rPr>
        <w:t>:00</w:t>
      </w:r>
      <w:r w:rsidR="00F770F3">
        <w:rPr>
          <w:rFonts w:eastAsia="Times New Roman"/>
        </w:rPr>
        <w:t xml:space="preserve">). Here, Merlin transitions from a Bartholomae-like figure to an Elbow-like figure. </w:t>
      </w:r>
      <w:r w:rsidR="007C4D93">
        <w:rPr>
          <w:rFonts w:eastAsia="Times New Roman"/>
        </w:rPr>
        <w:t xml:space="preserve">He begins playing Elbowian games with Arthur. </w:t>
      </w:r>
      <w:r w:rsidR="008A681F">
        <w:rPr>
          <w:rFonts w:eastAsia="Times New Roman"/>
        </w:rPr>
        <w:t>Merlin</w:t>
      </w:r>
      <w:r w:rsidR="008170AF">
        <w:rPr>
          <w:rFonts w:eastAsia="Times New Roman"/>
        </w:rPr>
        <w:t xml:space="preserve"> transforms Arthur into a fish, a squirrel, and a bird</w:t>
      </w:r>
      <w:r w:rsidR="007C4D93">
        <w:rPr>
          <w:rFonts w:eastAsia="Times New Roman"/>
        </w:rPr>
        <w:t xml:space="preserve">. </w:t>
      </w:r>
    </w:p>
    <w:p w:rsidR="0080269E" w:rsidRDefault="0080269E" w:rsidP="001B32E3">
      <w:pPr>
        <w:spacing w:before="240"/>
        <w:contextualSpacing/>
        <w:rPr>
          <w:rFonts w:eastAsia="Times New Roman"/>
        </w:rPr>
      </w:pPr>
      <w:r>
        <w:rPr>
          <w:rFonts w:eastAsia="Times New Roman"/>
        </w:rPr>
        <w:tab/>
        <w:t xml:space="preserve">These transformations are extreme versions of Elbow’s “believing game.” Indeed, in Elbow’s Appendix Essay in </w:t>
      </w:r>
      <w:r>
        <w:rPr>
          <w:rFonts w:eastAsia="Times New Roman"/>
          <w:i/>
        </w:rPr>
        <w:t>Writing without Teachers</w:t>
      </w:r>
      <w:r>
        <w:rPr>
          <w:rFonts w:eastAsia="Times New Roman"/>
        </w:rPr>
        <w:t xml:space="preserve">, he writes when you play the believing game, “try to put yourself into the skin of people with other perceptions” (170). Merlin literally places Arthur into the skin of </w:t>
      </w:r>
      <w:r w:rsidR="003E7750">
        <w:rPr>
          <w:rFonts w:eastAsia="Times New Roman"/>
        </w:rPr>
        <w:t>organisms with different perceptions.</w:t>
      </w:r>
      <w:r>
        <w:rPr>
          <w:rFonts w:eastAsia="Times New Roman"/>
        </w:rPr>
        <w:t xml:space="preserve"> </w:t>
      </w:r>
      <w:r w:rsidR="00A158FA">
        <w:rPr>
          <w:rFonts w:eastAsia="Times New Roman"/>
        </w:rPr>
        <w:t xml:space="preserve"> When Merlin is getting ready to make Arthur become a fish, he asks Arthur if he can imagine himself as a fish and Arthur answers, “Oh, that’s easy. I’ve done that lots of times” (27:52). This reliance on imagination reminds one of Elbow’s conditions for the believing game: “Though the listener’s knowledge seems new, it is also not new: the meaning may be thought of as structures he never had in his head before, but he had to build these new structures out of ingredients he already had” (152). </w:t>
      </w:r>
      <w:r w:rsidR="00AB4CC4">
        <w:rPr>
          <w:rFonts w:eastAsia="Times New Roman"/>
        </w:rPr>
        <w:t>Arthur, then, both becomes a fish for the first time and returns to being a fish after many times of imagining.</w:t>
      </w:r>
    </w:p>
    <w:p w:rsidR="00946C9B" w:rsidRDefault="00946C9B" w:rsidP="001B32E3">
      <w:pPr>
        <w:spacing w:before="240"/>
        <w:contextualSpacing/>
        <w:rPr>
          <w:rFonts w:eastAsia="Times New Roman"/>
        </w:rPr>
      </w:pPr>
      <w:r>
        <w:rPr>
          <w:rFonts w:eastAsia="Times New Roman"/>
        </w:rPr>
        <w:tab/>
      </w:r>
      <w:r w:rsidR="0068501E">
        <w:rPr>
          <w:rFonts w:eastAsia="Times New Roman"/>
        </w:rPr>
        <w:t>In his commitment to this</w:t>
      </w:r>
      <w:r>
        <w:rPr>
          <w:rFonts w:eastAsia="Times New Roman"/>
        </w:rPr>
        <w:t xml:space="preserve"> kind of believing game, Merlin casts his previous bookish teacher persona to the side.</w:t>
      </w:r>
      <w:r w:rsidR="00423570">
        <w:rPr>
          <w:rFonts w:eastAsia="Times New Roman"/>
        </w:rPr>
        <w:t xml:space="preserve"> When Arthur is fired</w:t>
      </w:r>
      <w:r w:rsidR="0068501E">
        <w:rPr>
          <w:rFonts w:eastAsia="Times New Roman"/>
        </w:rPr>
        <w:t xml:space="preserve"> from being a squire to Kay, though, Merlin doubles down on his desire to give Arthur a “real education” (54:00). He commands Arthur to read all of the books he packed in the beginning. When he finds out Arthur cannot read, Merlin leaves the job of teaching Arthur to his owl, Archimedes (55:51). Archimedes, in this moment, becomes the B</w:t>
      </w:r>
      <w:r w:rsidR="00084BA9">
        <w:rPr>
          <w:rFonts w:eastAsia="Times New Roman"/>
        </w:rPr>
        <w:t>artholomae to Merlin’s Elbow. Archimedes</w:t>
      </w:r>
      <w:r w:rsidR="0068501E">
        <w:rPr>
          <w:rFonts w:eastAsia="Times New Roman"/>
        </w:rPr>
        <w:t xml:space="preserve"> will instruct Arthur in the mechanics that will help Arthur gain the knowledge Merlin expects him to gain from the believing games.</w:t>
      </w:r>
    </w:p>
    <w:p w:rsidR="0068501E" w:rsidRPr="00084BA9" w:rsidRDefault="0068501E" w:rsidP="001B32E3">
      <w:pPr>
        <w:spacing w:before="240"/>
        <w:contextualSpacing/>
        <w:rPr>
          <w:rFonts w:eastAsia="Times New Roman"/>
          <w:b/>
        </w:rPr>
      </w:pPr>
      <w:r>
        <w:rPr>
          <w:rFonts w:eastAsia="Times New Roman"/>
        </w:rPr>
        <w:tab/>
        <w:t>Interestingly, when Merlin is inspired to turn Arthur into a bird, Merlin reverts back to a Bartholomae figure and Archimedes takes on the role of Elbow (57:35). Merlin wants to teach Arthur the “</w:t>
      </w:r>
      <w:r w:rsidR="00A51696">
        <w:rPr>
          <w:rFonts w:eastAsia="Times New Roman"/>
        </w:rPr>
        <w:t>mechanics of a bird’s wing</w:t>
      </w:r>
      <w:r>
        <w:rPr>
          <w:rFonts w:eastAsia="Times New Roman"/>
        </w:rPr>
        <w:t>.”</w:t>
      </w:r>
      <w:r w:rsidR="00A51696">
        <w:rPr>
          <w:rFonts w:eastAsia="Times New Roman"/>
        </w:rPr>
        <w:t xml:space="preserve"> Archimedes, on the other hand, argues that flying “is a delicate art” (58:16)—one that is best learned by doing.</w:t>
      </w:r>
      <w:r w:rsidR="00F86B7B">
        <w:rPr>
          <w:rFonts w:eastAsia="Times New Roman"/>
        </w:rPr>
        <w:t xml:space="preserve"> When Bartholomae and Elbow are personified in front of Arthur, the potential for great learning is the highest. </w:t>
      </w:r>
    </w:p>
    <w:p w:rsidR="00050258" w:rsidRDefault="00050258" w:rsidP="00050258">
      <w:pPr>
        <w:ind w:firstLine="720"/>
        <w:contextualSpacing/>
        <w:rPr>
          <w:rFonts w:eastAsia="Times New Roman"/>
        </w:rPr>
      </w:pPr>
      <w:r>
        <w:rPr>
          <w:rFonts w:eastAsia="Times New Roman"/>
        </w:rPr>
        <w:t xml:space="preserve">Even after all of these experiences, though, Arthur is still steadfastly sure that he wants to be a squire. Jerome Bruner has an answer to this problem of frustratingly static students when he notes that “It is not just that the child must make his knowledge his own, but that he must make it his own </w:t>
      </w:r>
      <w:r>
        <w:rPr>
          <w:rFonts w:eastAsia="Times New Roman"/>
          <w:i/>
        </w:rPr>
        <w:t>in a community</w:t>
      </w:r>
      <w:r>
        <w:rPr>
          <w:rFonts w:eastAsia="Times New Roman"/>
        </w:rPr>
        <w:t xml:space="preserve"> of those </w:t>
      </w:r>
      <w:r>
        <w:rPr>
          <w:rFonts w:eastAsia="Times New Roman"/>
          <w:i/>
        </w:rPr>
        <w:t>who share</w:t>
      </w:r>
      <w:r>
        <w:rPr>
          <w:rFonts w:eastAsia="Times New Roman"/>
        </w:rPr>
        <w:t xml:space="preserve"> his sense of belonging to a culture” (emphasis added, 127). Arthur is not learning the lessons Merlin teaches him because he is not experiencing these lessons in community with those who share his desire to be a squire. Therefore, he is unlikely to either retain or apply these lessons to his life. For Arthur these extremely literal believing games are, in the end, only that—games.</w:t>
      </w:r>
    </w:p>
    <w:p w:rsidR="00C3051C" w:rsidRDefault="003E7750" w:rsidP="003E7750">
      <w:pPr>
        <w:spacing w:before="240"/>
        <w:ind w:firstLine="720"/>
        <w:contextualSpacing/>
        <w:rPr>
          <w:rFonts w:eastAsia="Times New Roman"/>
        </w:rPr>
      </w:pPr>
      <w:r>
        <w:rPr>
          <w:rFonts w:eastAsia="Times New Roman"/>
        </w:rPr>
        <w:t xml:space="preserve">It is not until Arthur can observe Merlin in </w:t>
      </w:r>
      <w:r>
        <w:rPr>
          <w:rFonts w:eastAsia="Times New Roman"/>
          <w:i/>
        </w:rPr>
        <w:t xml:space="preserve">his </w:t>
      </w:r>
      <w:r>
        <w:rPr>
          <w:rFonts w:eastAsia="Times New Roman"/>
        </w:rPr>
        <w:t xml:space="preserve">community that Merlin’s teachings begin to take root. </w:t>
      </w:r>
      <w:r w:rsidR="003260FD" w:rsidRPr="003E7750">
        <w:rPr>
          <w:rFonts w:eastAsia="Times New Roman"/>
        </w:rPr>
        <w:t>By</w:t>
      </w:r>
      <w:r w:rsidR="003260FD">
        <w:rPr>
          <w:rFonts w:eastAsia="Times New Roman"/>
        </w:rPr>
        <w:t xml:space="preserve"> accident, Arthur gets to watch Merlin engage in a wizard battle with Madam Mim. </w:t>
      </w:r>
      <w:r w:rsidR="00C3051C">
        <w:rPr>
          <w:rFonts w:eastAsia="Times New Roman"/>
        </w:rPr>
        <w:t>For the first time, Arthur observes Merlin in Merlin’s community. Amazed at the violence of this battle, Arthur compliments Merlin: “You were really great, Merlin, but… you could’ve been killed.” “It was worth it, lad, if you learned something from it,” Merlin responds. Arthur has lea</w:t>
      </w:r>
      <w:r w:rsidR="00ED3157">
        <w:rPr>
          <w:rFonts w:eastAsia="Times New Roman"/>
        </w:rPr>
        <w:t xml:space="preserve">rned something from the battle—the </w:t>
      </w:r>
      <w:r w:rsidR="00C3051C">
        <w:rPr>
          <w:rFonts w:eastAsia="Times New Roman"/>
        </w:rPr>
        <w:t>lessons Merlin has been trying to teach Arthur all along: “Knowledge and wisdom is the real power,” Arthur observes</w:t>
      </w:r>
      <w:r w:rsidR="005D3292">
        <w:rPr>
          <w:rFonts w:eastAsia="Times New Roman"/>
        </w:rPr>
        <w:t xml:space="preserve"> (1:10:00)</w:t>
      </w:r>
      <w:r w:rsidR="00C3051C">
        <w:rPr>
          <w:rFonts w:eastAsia="Times New Roman"/>
        </w:rPr>
        <w:t>.</w:t>
      </w:r>
    </w:p>
    <w:p w:rsidR="008254C2" w:rsidRPr="008254C2" w:rsidRDefault="00A45DAD" w:rsidP="008254C2">
      <w:pPr>
        <w:spacing w:before="240"/>
        <w:ind w:firstLine="720"/>
        <w:contextualSpacing/>
        <w:rPr>
          <w:rFonts w:eastAsia="Times New Roman"/>
        </w:rPr>
      </w:pPr>
      <w:r>
        <w:rPr>
          <w:rFonts w:eastAsia="Times New Roman"/>
        </w:rPr>
        <w:t xml:space="preserve">Merlin’s teaching takes a strong turn toward Bruner here. </w:t>
      </w:r>
      <w:r w:rsidR="005B78BF">
        <w:rPr>
          <w:rFonts w:eastAsia="Times New Roman"/>
        </w:rPr>
        <w:t xml:space="preserve">In “The Language of Education,” Bruner writes of the ways knowledge is most often transferred from teacher to student. </w:t>
      </w:r>
      <w:r w:rsidR="00B257A0">
        <w:rPr>
          <w:rFonts w:eastAsia="Times New Roman"/>
        </w:rPr>
        <w:t>Citing work done in teacher talk by Carol Feldman, h</w:t>
      </w:r>
      <w:r w:rsidR="005B78BF">
        <w:rPr>
          <w:rFonts w:eastAsia="Times New Roman"/>
        </w:rPr>
        <w:t>e writes, “The world that the teachers were p</w:t>
      </w:r>
      <w:r w:rsidR="00B257A0">
        <w:rPr>
          <w:rFonts w:eastAsia="Times New Roman"/>
        </w:rPr>
        <w:t>resenting to their students was</w:t>
      </w:r>
      <w:r w:rsidR="005B78BF">
        <w:rPr>
          <w:rFonts w:eastAsia="Times New Roman"/>
        </w:rPr>
        <w:t xml:space="preserve"> </w:t>
      </w:r>
      <w:r w:rsidR="00B257A0">
        <w:rPr>
          <w:rFonts w:eastAsia="Times New Roman"/>
        </w:rPr>
        <w:t xml:space="preserve">a </w:t>
      </w:r>
      <w:r w:rsidR="005B78BF">
        <w:rPr>
          <w:rFonts w:eastAsia="Times New Roman"/>
        </w:rPr>
        <w:t xml:space="preserve">far more </w:t>
      </w:r>
      <w:r w:rsidR="00B257A0">
        <w:rPr>
          <w:rFonts w:eastAsia="Times New Roman"/>
        </w:rPr>
        <w:t>settle</w:t>
      </w:r>
      <w:r w:rsidR="00111FC7">
        <w:rPr>
          <w:rFonts w:eastAsia="Times New Roman"/>
        </w:rPr>
        <w:t>d, far less hypothetical, far le</w:t>
      </w:r>
      <w:r w:rsidR="00B257A0">
        <w:rPr>
          <w:rFonts w:eastAsia="Times New Roman"/>
        </w:rPr>
        <w:t xml:space="preserve">ss negotiatory world than the one they were offering to their colleagues” (126). When Merlin battles Madam Mim, Arthur faces the reality that although Merlin presents the world (and magic) as a settled and calm thing, </w:t>
      </w:r>
      <w:r w:rsidR="008254C2">
        <w:rPr>
          <w:rFonts w:eastAsia="Times New Roman"/>
        </w:rPr>
        <w:t>Merlin is not always in control of the world (and magic). It is in this moment that Merlin achieves the kind of education for which Bruner advocates:</w:t>
      </w:r>
      <w:r w:rsidR="00241E73">
        <w:rPr>
          <w:rFonts w:eastAsia="Times New Roman"/>
        </w:rPr>
        <w:t xml:space="preserve"> </w:t>
      </w:r>
      <w:r w:rsidR="008254C2">
        <w:rPr>
          <w:rFonts w:eastAsia="Times New Roman"/>
        </w:rPr>
        <w:t xml:space="preserve">“[Education] is the forum aspect of a culture that gives its participants a role in constantly making and remaking the culture—an </w:t>
      </w:r>
      <w:r w:rsidR="008254C2">
        <w:rPr>
          <w:rFonts w:eastAsia="Times New Roman"/>
          <w:i/>
        </w:rPr>
        <w:t>active</w:t>
      </w:r>
      <w:r w:rsidR="008254C2">
        <w:rPr>
          <w:rFonts w:eastAsia="Times New Roman"/>
        </w:rPr>
        <w:t xml:space="preserve"> role as participants rather than as performing spectators who play out their canonical roles according to rule when the appropriate cues occur” (123</w:t>
      </w:r>
      <w:r w:rsidR="00241E73">
        <w:rPr>
          <w:rFonts w:eastAsia="Times New Roman"/>
        </w:rPr>
        <w:t>).</w:t>
      </w:r>
      <w:r w:rsidR="009431FF">
        <w:rPr>
          <w:rFonts w:eastAsia="Times New Roman"/>
        </w:rPr>
        <w:t xml:space="preserve"> Arthur </w:t>
      </w:r>
      <w:r w:rsidR="00111FC7">
        <w:rPr>
          <w:rFonts w:eastAsia="Times New Roman"/>
        </w:rPr>
        <w:t>performs</w:t>
      </w:r>
      <w:r w:rsidR="009431FF">
        <w:rPr>
          <w:rFonts w:eastAsia="Times New Roman"/>
        </w:rPr>
        <w:t xml:space="preserve"> as spectator for Merlin in his battle </w:t>
      </w:r>
      <w:r w:rsidR="00111FC7">
        <w:rPr>
          <w:rFonts w:eastAsia="Times New Roman"/>
        </w:rPr>
        <w:t>with Madame Mim, yes, but it is</w:t>
      </w:r>
      <w:r w:rsidR="009431FF">
        <w:rPr>
          <w:rFonts w:eastAsia="Times New Roman"/>
        </w:rPr>
        <w:t xml:space="preserve"> a more active spectating—one </w:t>
      </w:r>
      <w:r w:rsidR="00111FC7">
        <w:rPr>
          <w:rFonts w:eastAsia="Times New Roman"/>
        </w:rPr>
        <w:t>for which Arthur does not know</w:t>
      </w:r>
      <w:r w:rsidR="009431FF">
        <w:rPr>
          <w:rFonts w:eastAsia="Times New Roman"/>
        </w:rPr>
        <w:t xml:space="preserve"> “the appropriate cues”—than the kind of performing Arthur had been doing in his lessons with Merlin.</w:t>
      </w:r>
    </w:p>
    <w:p w:rsidR="002538EE" w:rsidRDefault="008A681F">
      <w:pPr>
        <w:contextualSpacing/>
      </w:pPr>
      <w:r>
        <w:tab/>
      </w:r>
      <w:r w:rsidR="009431FF">
        <w:t xml:space="preserve">Indeed, this more </w:t>
      </w:r>
      <w:r w:rsidR="00B1601B">
        <w:t>participatory</w:t>
      </w:r>
      <w:r w:rsidR="009431FF">
        <w:t xml:space="preserve"> format allows Arthur to learn</w:t>
      </w:r>
      <w:r>
        <w:t xml:space="preserve"> the lesson, then, but despite all of this, he still leaps at the chance to go be Kay’s squire in London.</w:t>
      </w:r>
      <w:r w:rsidR="00A51696">
        <w:t xml:space="preserve"> </w:t>
      </w:r>
      <w:r w:rsidR="00F40934">
        <w:t>Frustrated</w:t>
      </w:r>
      <w:r w:rsidR="00A51696">
        <w:t xml:space="preserve"> that his time with Arthur has not resulted in noticeable changes</w:t>
      </w:r>
      <w:r w:rsidR="00F40934">
        <w:t xml:space="preserve">, Merlin </w:t>
      </w:r>
      <w:r w:rsidR="00385115">
        <w:t>leaves for Bermuda</w:t>
      </w:r>
      <w:r w:rsidR="005D3292">
        <w:t xml:space="preserve"> (1:13:00)</w:t>
      </w:r>
      <w:r w:rsidR="00385115">
        <w:t>. The FYC student can do all we as</w:t>
      </w:r>
      <w:r w:rsidR="00ED3157">
        <w:t xml:space="preserve">k and still </w:t>
      </w:r>
      <w:r w:rsidR="00385115">
        <w:t>remain extraordinarily similar to the student with whom we began the term</w:t>
      </w:r>
      <w:r w:rsidR="00ED3157">
        <w:t xml:space="preserve"> (and often does)</w:t>
      </w:r>
      <w:r w:rsidR="00385115">
        <w:t>. But that’s alright. When Arthur goes to London, he pulls the sword from the stone and is thrust onto the throne. Scared and unsure of what to do next, though, Arthur fervently calls upon Merlin to come help him</w:t>
      </w:r>
      <w:r w:rsidR="0060566E">
        <w:t xml:space="preserve"> (1:17:00)</w:t>
      </w:r>
      <w:r w:rsidR="00385115">
        <w:t>. Arthur knows the wisdom and knowledge (and magic) Merlin has to share is important to his life.</w:t>
      </w:r>
    </w:p>
    <w:p w:rsidR="000D6FA8" w:rsidRDefault="002538EE" w:rsidP="002730FB">
      <w:pPr>
        <w:ind w:firstLine="720"/>
        <w:contextualSpacing/>
      </w:pPr>
      <w:r>
        <w:t>Diligently and patiently, Merlin ha</w:t>
      </w:r>
      <w:r w:rsidR="00F40934">
        <w:t>s le</w:t>
      </w:r>
      <w:r>
        <w:t xml:space="preserve">d Arthur to this realization. He has done so by allowing Arthur to </w:t>
      </w:r>
      <w:r>
        <w:rPr>
          <w:i/>
        </w:rPr>
        <w:t>do</w:t>
      </w:r>
      <w:r w:rsidR="00111FC7">
        <w:t xml:space="preserve"> things. He has neither</w:t>
      </w:r>
      <w:r>
        <w:t xml:space="preserve"> lectured Arthur nor commanded Arthur to imagine these lessons. Merlin physically changes the body of Arthur so that the boy may experience the lessons.</w:t>
      </w:r>
      <w:r w:rsidR="00EB5A5B">
        <w:t xml:space="preserve"> </w:t>
      </w:r>
      <w:r>
        <w:t>Merlin does not expect Arthur to learn to use magic in his everyday life, but he does expect that the medium of magic will allow Arthur to gain the message of educ</w:t>
      </w:r>
      <w:r w:rsidR="007C4D93">
        <w:t>a</w:t>
      </w:r>
      <w:r w:rsidR="002730FB">
        <w:t>tion.</w:t>
      </w:r>
    </w:p>
    <w:p w:rsidR="009060E0" w:rsidRDefault="009060E0" w:rsidP="002730FB">
      <w:pPr>
        <w:ind w:firstLine="720"/>
        <w:contextualSpacing/>
      </w:pPr>
      <w:r>
        <w:t xml:space="preserve">The FYC instructor can draw lessons from Merlin. Although we may be privy to knowledge that our students do not have, we should proceed with caution before attaching normative claims to that knowledge—whether our students </w:t>
      </w:r>
      <w:r>
        <w:rPr>
          <w:i/>
        </w:rPr>
        <w:t>should</w:t>
      </w:r>
      <w:r>
        <w:t xml:space="preserve"> know this knowledge. Merlin, at first, believes that if Arthur only knew the things Merlin knows, then Arthur would go out and do great things, but ultimately, Arthur becomes king by ignoring Merlin.</w:t>
      </w:r>
      <w:r w:rsidR="00871014">
        <w:t xml:space="preserve"> Arthur succeeds in being king, one surmises,</w:t>
      </w:r>
      <w:r w:rsidR="00E01988">
        <w:t xml:space="preserve"> though,</w:t>
      </w:r>
      <w:r w:rsidR="00871014">
        <w:t xml:space="preserve"> by remembering the lessons Merlin has shared with him. </w:t>
      </w:r>
      <w:r w:rsidR="000A0E7A">
        <w:t xml:space="preserve">Just like the viewer of </w:t>
      </w:r>
      <w:r w:rsidR="000A0E7A">
        <w:rPr>
          <w:i/>
        </w:rPr>
        <w:t>The Sword in the Stone</w:t>
      </w:r>
      <w:r w:rsidR="000A0E7A">
        <w:t xml:space="preserve"> does not definitively know </w:t>
      </w:r>
      <w:r w:rsidR="003773DF">
        <w:t xml:space="preserve">Arthur’s level success in his rule of the kingdom, </w:t>
      </w:r>
      <w:r w:rsidR="00B1601B">
        <w:t xml:space="preserve">often, </w:t>
      </w:r>
      <w:r w:rsidR="003773DF">
        <w:t>we do not definitively know the success of our students beyond our classes. Indeed,</w:t>
      </w:r>
      <w:r w:rsidR="00871014">
        <w:t xml:space="preserve"> we do not have the privilege of Merlin’s clairvoyance to know how our </w:t>
      </w:r>
      <w:r w:rsidR="003773DF">
        <w:t>students may or may not use the</w:t>
      </w:r>
      <w:r w:rsidR="00871014">
        <w:t xml:space="preserve"> knowledge</w:t>
      </w:r>
      <w:r w:rsidR="003773DF">
        <w:t xml:space="preserve"> we helped them acquire</w:t>
      </w:r>
      <w:r w:rsidR="00871014">
        <w:t xml:space="preserve"> in the lives they lead after our class.</w:t>
      </w:r>
    </w:p>
    <w:p w:rsidR="007C4D93" w:rsidRDefault="00E01988" w:rsidP="007F6EFA">
      <w:pPr>
        <w:ind w:firstLine="720"/>
        <w:contextualSpacing/>
        <w:rPr>
          <w:rFonts w:eastAsia="Times New Roman"/>
        </w:rPr>
      </w:pPr>
      <w:r>
        <w:t>The be</w:t>
      </w:r>
      <w:r w:rsidR="00F57869">
        <w:t>st a FYC instructor can do, perhaps</w:t>
      </w:r>
      <w:r>
        <w:t>, is to follow</w:t>
      </w:r>
      <w:r w:rsidR="00F57869">
        <w:t xml:space="preserve"> the map of teaching and learning that Merlin provides.</w:t>
      </w:r>
      <w:r w:rsidR="007F6EFA">
        <w:t xml:space="preserve"> Like Merlin packing all of his books before leaving to tutor Arthur, t</w:t>
      </w:r>
      <w:r w:rsidR="00F57869">
        <w:t xml:space="preserve">he instructor can </w:t>
      </w:r>
      <w:r w:rsidR="007F6EFA">
        <w:t>foreshadow the depth of knowledge that her students will need to learn. Then, though, it may be wise to follow Merlin’s lead and let students play Elbow’s believing games so that they will begin to understand the importance of all of that knowledge. Next, the instructor should reintroduce the depth of knowledge that may have seemed overwhelming to the student</w:t>
      </w:r>
      <w:r w:rsidR="00344E0D">
        <w:t>s</w:t>
      </w:r>
      <w:r w:rsidR="007F6EFA">
        <w:t xml:space="preserve"> at first and make sure that the student has the necessary tools with which to engage with that knowledge like Archimedes and Merlin do when they teach Arthur how to read.</w:t>
      </w:r>
      <w:r w:rsidR="00344E0D">
        <w:t xml:space="preserve"> </w:t>
      </w:r>
      <w:r w:rsidR="0034337A">
        <w:t xml:space="preserve">Like Archimedes and Merlin, a successful FYC instructor should be able to </w:t>
      </w:r>
      <w:r w:rsidR="00CD258A">
        <w:t xml:space="preserve">put on Elbow and Bartholomae caps when appropriate for the student. </w:t>
      </w:r>
      <w:r w:rsidR="00344E0D">
        <w:t>And finally, the instructor should begin to allow the students to observe the academic world</w:t>
      </w:r>
      <w:r w:rsidR="00B74C12">
        <w:t xml:space="preserve"> </w:t>
      </w:r>
      <w:r w:rsidR="00344E0D">
        <w:t xml:space="preserve">she moves through </w:t>
      </w:r>
      <w:r w:rsidR="00B1601B">
        <w:t>(like Arthur</w:t>
      </w:r>
      <w:r w:rsidR="00B74C12">
        <w:t xml:space="preserve"> observe</w:t>
      </w:r>
      <w:r w:rsidR="00B1601B">
        <w:t>s Merlin in</w:t>
      </w:r>
      <w:r w:rsidR="00B74C12">
        <w:t xml:space="preserve"> his wizard battle) </w:t>
      </w:r>
      <w:r w:rsidR="00344E0D">
        <w:t>once the students have obtained the knowledge and know t</w:t>
      </w:r>
      <w:r w:rsidR="00B74C12">
        <w:t xml:space="preserve">he importance of that knowledge. </w:t>
      </w:r>
      <w:r w:rsidR="001E0C0D">
        <w:t>Following this Merlin-inspired map</w:t>
      </w:r>
      <w:r w:rsidR="00B74C12">
        <w:t>, students have the opportunity to be enraptured by the thrill of writing while still obtaining the skills necessary in a first-year composition course.</w:t>
      </w:r>
      <w:r w:rsidR="00344E0D">
        <w:t xml:space="preserve"> </w:t>
      </w:r>
    </w:p>
    <w:p w:rsidR="00AB4CC4" w:rsidRDefault="00AB4CC4">
      <w:pPr>
        <w:rPr>
          <w:rFonts w:eastAsia="Times New Roman"/>
        </w:rPr>
      </w:pPr>
      <w:r>
        <w:rPr>
          <w:rFonts w:eastAsia="Times New Roman"/>
        </w:rPr>
        <w:br w:type="page"/>
      </w:r>
    </w:p>
    <w:p w:rsidR="00AB4CC4" w:rsidRDefault="00AB4CC4" w:rsidP="00AB4CC4">
      <w:pPr>
        <w:contextualSpacing/>
        <w:jc w:val="center"/>
      </w:pPr>
      <w:r>
        <w:t>Works Cited</w:t>
      </w:r>
    </w:p>
    <w:p w:rsidR="00AB4CC4" w:rsidRDefault="00AB4CC4" w:rsidP="00AB4CC4">
      <w:pPr>
        <w:ind w:left="720" w:hanging="720"/>
        <w:contextualSpacing/>
      </w:pPr>
      <w:r w:rsidRPr="00F56908">
        <w:t xml:space="preserve">Bartholomae, David. “Writing with Teachers: A Conversation with Peter Elbow.” </w:t>
      </w:r>
      <w:r w:rsidRPr="00F56908">
        <w:rPr>
          <w:i/>
        </w:rPr>
        <w:t>College Composition and Communication</w:t>
      </w:r>
      <w:r w:rsidRPr="00F56908">
        <w:t xml:space="preserve"> 46.1 (1995): 62-71. </w:t>
      </w:r>
      <w:r w:rsidRPr="00F56908">
        <w:rPr>
          <w:i/>
        </w:rPr>
        <w:t xml:space="preserve">Arts &amp; Humanities Index. </w:t>
      </w:r>
      <w:r w:rsidRPr="00F56908">
        <w:t>Web. 14 Sept. 2015.</w:t>
      </w:r>
    </w:p>
    <w:p w:rsidR="00A12632" w:rsidRPr="00A12632" w:rsidRDefault="00A12632" w:rsidP="00AB4CC4">
      <w:pPr>
        <w:ind w:left="720" w:hanging="720"/>
        <w:contextualSpacing/>
      </w:pPr>
      <w:r>
        <w:t xml:space="preserve">Bruner, Jerome. Preface. </w:t>
      </w:r>
      <w:r>
        <w:rPr>
          <w:i/>
        </w:rPr>
        <w:t>Actual Minds, Possible Worlds.</w:t>
      </w:r>
      <w:r>
        <w:t xml:space="preserve"> By Bruner. Cambridge: Harvard UP, 1986. ix-xi. Print.</w:t>
      </w:r>
    </w:p>
    <w:p w:rsidR="009210A5" w:rsidRDefault="009210A5" w:rsidP="009210A5">
      <w:pPr>
        <w:spacing w:after="0"/>
        <w:ind w:left="720" w:hanging="720"/>
        <w:contextualSpacing/>
        <w:rPr>
          <w:rFonts w:eastAsia="Times New Roman"/>
        </w:rPr>
      </w:pPr>
      <w:r w:rsidRPr="009210A5">
        <w:rPr>
          <w:rFonts w:eastAsia="Times New Roman"/>
        </w:rPr>
        <w:t xml:space="preserve">Bruner, Jerome. "Two Modes of Thought." </w:t>
      </w:r>
      <w:r w:rsidRPr="009210A5">
        <w:rPr>
          <w:rFonts w:eastAsia="Times New Roman"/>
          <w:i/>
          <w:iCs/>
        </w:rPr>
        <w:t>Actual Minds, Possible Worlds</w:t>
      </w:r>
      <w:r w:rsidRPr="009210A5">
        <w:rPr>
          <w:rFonts w:eastAsia="Times New Roman"/>
        </w:rPr>
        <w:t xml:space="preserve">. Cambridge: Harvard UP, 1986. 11-43. Print. </w:t>
      </w:r>
    </w:p>
    <w:p w:rsidR="00A45DAD" w:rsidRDefault="00A45DAD" w:rsidP="00A45DAD">
      <w:pPr>
        <w:spacing w:after="0"/>
        <w:ind w:left="720" w:hanging="720"/>
        <w:contextualSpacing/>
        <w:rPr>
          <w:rFonts w:eastAsia="Times New Roman"/>
        </w:rPr>
      </w:pPr>
      <w:r w:rsidRPr="00A45DAD">
        <w:rPr>
          <w:rFonts w:eastAsia="Times New Roman"/>
        </w:rPr>
        <w:t xml:space="preserve">Bruner, Jerome. "The Language of Education." </w:t>
      </w:r>
      <w:r w:rsidRPr="00A45DAD">
        <w:rPr>
          <w:rFonts w:eastAsia="Times New Roman"/>
          <w:i/>
          <w:iCs/>
        </w:rPr>
        <w:t>Actual Minds, Possible Worlds</w:t>
      </w:r>
      <w:r w:rsidRPr="00A45DAD">
        <w:rPr>
          <w:rFonts w:eastAsia="Times New Roman"/>
        </w:rPr>
        <w:t xml:space="preserve">. Cambridge: Harvard UP, 1986. 121-133. Print. </w:t>
      </w:r>
    </w:p>
    <w:p w:rsidR="00247B0E" w:rsidRDefault="00247B0E" w:rsidP="00247B0E">
      <w:pPr>
        <w:ind w:left="720" w:hanging="720"/>
        <w:contextualSpacing/>
      </w:pPr>
      <w:r w:rsidRPr="00F56908">
        <w:t xml:space="preserve">Bruner, Jerome S. “The Functions of Teaching.” </w:t>
      </w:r>
      <w:r w:rsidRPr="00F56908">
        <w:rPr>
          <w:i/>
        </w:rPr>
        <w:t>In Search of Pedagogy Volume I</w:t>
      </w:r>
      <w:r w:rsidRPr="00F56908">
        <w:t>. New York: Routledge, 2006. 31-9. Print.</w:t>
      </w:r>
    </w:p>
    <w:p w:rsidR="00AB4CC4" w:rsidRDefault="00AB4CC4" w:rsidP="00AB4CC4">
      <w:pPr>
        <w:ind w:left="720" w:hanging="720"/>
        <w:contextualSpacing/>
      </w:pPr>
      <w:r>
        <w:t xml:space="preserve">Bartholomae, D. &amp; Elbow, P. “Responses to Bartholomae and Elbow.” </w:t>
      </w:r>
      <w:r>
        <w:rPr>
          <w:i/>
        </w:rPr>
        <w:t>College Composition and Communication</w:t>
      </w:r>
      <w:r>
        <w:t xml:space="preserve"> 46.1 (1995): 84-92.</w:t>
      </w:r>
      <w:r w:rsidRPr="0015278F">
        <w:rPr>
          <w:i/>
        </w:rPr>
        <w:t xml:space="preserve"> </w:t>
      </w:r>
      <w:r>
        <w:rPr>
          <w:i/>
        </w:rPr>
        <w:t>JSOR Journals</w:t>
      </w:r>
      <w:r>
        <w:t>. Web. 14 Sept. 2015.</w:t>
      </w:r>
    </w:p>
    <w:p w:rsidR="00602A09" w:rsidRDefault="00602A09" w:rsidP="00602A09">
      <w:pPr>
        <w:spacing w:after="0"/>
        <w:ind w:left="720" w:hanging="720"/>
        <w:contextualSpacing/>
      </w:pPr>
      <w:r w:rsidRPr="00602A09">
        <w:rPr>
          <w:rFonts w:eastAsia="Times New Roman"/>
        </w:rPr>
        <w:t xml:space="preserve">Elbow, Peter. "The Doubting Game and the Believing Game--An Analysis of the Intellectual Enterprise." </w:t>
      </w:r>
      <w:r w:rsidRPr="00602A09">
        <w:rPr>
          <w:rFonts w:eastAsia="Times New Roman"/>
          <w:i/>
          <w:iCs/>
        </w:rPr>
        <w:t>Writing without Teachers</w:t>
      </w:r>
      <w:r w:rsidRPr="00602A09">
        <w:rPr>
          <w:rFonts w:eastAsia="Times New Roman"/>
        </w:rPr>
        <w:t xml:space="preserve">. New York: Oxford UP, 1973. 147-191. Print. </w:t>
      </w:r>
    </w:p>
    <w:p w:rsidR="00AB4CC4" w:rsidRDefault="00AB4CC4" w:rsidP="00AB4CC4">
      <w:pPr>
        <w:ind w:left="720" w:hanging="720"/>
        <w:contextualSpacing/>
      </w:pPr>
      <w:r w:rsidRPr="00F56908">
        <w:t xml:space="preserve">Kail, Harvey. “Narratives of Knowledge: Story and Pedagogy in Four Composition Texts.” </w:t>
      </w:r>
      <w:r w:rsidRPr="00F56908">
        <w:rPr>
          <w:i/>
        </w:rPr>
        <w:t>Rhetoric Review</w:t>
      </w:r>
      <w:r w:rsidRPr="00F56908">
        <w:t xml:space="preserve">. 6.2 (1988): 179-189. </w:t>
      </w:r>
      <w:r w:rsidRPr="00F56908">
        <w:rPr>
          <w:i/>
        </w:rPr>
        <w:t>JSTOR Journals</w:t>
      </w:r>
      <w:r w:rsidRPr="00F56908">
        <w:t>. Web. 12 Oct. 2015.</w:t>
      </w:r>
    </w:p>
    <w:p w:rsidR="0060566E" w:rsidRDefault="0060566E" w:rsidP="0060566E">
      <w:pPr>
        <w:spacing w:after="0"/>
        <w:ind w:left="720" w:hanging="720"/>
        <w:contextualSpacing/>
        <w:rPr>
          <w:rFonts w:eastAsia="Times New Roman"/>
        </w:rPr>
      </w:pPr>
      <w:r w:rsidRPr="0060566E">
        <w:rPr>
          <w:rFonts w:eastAsia="Times New Roman"/>
          <w:i/>
          <w:iCs/>
        </w:rPr>
        <w:t>Walt Disney's The Sword in the Stone</w:t>
      </w:r>
      <w:r w:rsidRPr="0060566E">
        <w:rPr>
          <w:rFonts w:eastAsia="Times New Roman"/>
        </w:rPr>
        <w:t xml:space="preserve">. Dir. Wolfgang Reitherman. Buena Vista Distribution, 1963. </w:t>
      </w:r>
      <w:r w:rsidR="003773DF">
        <w:rPr>
          <w:rFonts w:eastAsia="Times New Roman"/>
        </w:rPr>
        <w:t>Film.</w:t>
      </w:r>
    </w:p>
    <w:p w:rsidR="00E01988" w:rsidRPr="00E01988" w:rsidRDefault="00E01988" w:rsidP="00E01988">
      <w:pPr>
        <w:spacing w:after="0"/>
        <w:ind w:left="720" w:hanging="720"/>
        <w:contextualSpacing/>
        <w:rPr>
          <w:rFonts w:eastAsia="Times New Roman"/>
        </w:rPr>
      </w:pPr>
      <w:r w:rsidRPr="00E01988">
        <w:rPr>
          <w:rFonts w:eastAsia="Times New Roman"/>
        </w:rPr>
        <w:t xml:space="preserve">"WPA Outcomes Statement for First-Year Composition (3.0)." </w:t>
      </w:r>
      <w:r w:rsidRPr="00E01988">
        <w:rPr>
          <w:rFonts w:eastAsia="Times New Roman"/>
          <w:i/>
          <w:iCs/>
        </w:rPr>
        <w:t>Council of Writing Program Administrators</w:t>
      </w:r>
      <w:r w:rsidRPr="00E01988">
        <w:rPr>
          <w:rFonts w:eastAsia="Times New Roman"/>
        </w:rPr>
        <w:t xml:space="preserve">. 17 July 2015. Web. 8 Dec. 2015. &lt;http://wpacouncil.org/positions/outcomes.html&gt;. </w:t>
      </w:r>
    </w:p>
    <w:sectPr w:rsidR="00E01988" w:rsidRPr="00E0198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BE7" w:rsidRDefault="00E50BE7" w:rsidP="005459A3">
      <w:pPr>
        <w:spacing w:after="0" w:line="240" w:lineRule="auto"/>
      </w:pPr>
      <w:r>
        <w:separator/>
      </w:r>
    </w:p>
  </w:endnote>
  <w:endnote w:type="continuationSeparator" w:id="0">
    <w:p w:rsidR="00E50BE7" w:rsidRDefault="00E50BE7" w:rsidP="0054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BE7" w:rsidRDefault="00E50BE7" w:rsidP="005459A3">
      <w:pPr>
        <w:spacing w:after="0" w:line="240" w:lineRule="auto"/>
      </w:pPr>
      <w:r>
        <w:separator/>
      </w:r>
    </w:p>
  </w:footnote>
  <w:footnote w:type="continuationSeparator" w:id="0">
    <w:p w:rsidR="00E50BE7" w:rsidRDefault="00E50BE7" w:rsidP="005459A3">
      <w:pPr>
        <w:spacing w:after="0" w:line="240" w:lineRule="auto"/>
      </w:pPr>
      <w:r>
        <w:continuationSeparator/>
      </w:r>
    </w:p>
  </w:footnote>
  <w:footnote w:id="1">
    <w:p w:rsidR="00E01988" w:rsidRDefault="00E01988">
      <w:pPr>
        <w:pStyle w:val="FootnoteText"/>
      </w:pPr>
      <w:r>
        <w:rPr>
          <w:rStyle w:val="FootnoteReference"/>
        </w:rPr>
        <w:footnoteRef/>
      </w:r>
      <w:r>
        <w:t xml:space="preserve"> The WPA Outcomes Statement is a good inventory for the kinds of knowledge with which we should be sure to leave our students</w:t>
      </w:r>
    </w:p>
  </w:footnote>
  <w:footnote w:id="2">
    <w:p w:rsidR="00DE6747" w:rsidRDefault="00DE6747">
      <w:pPr>
        <w:pStyle w:val="FootnoteText"/>
      </w:pPr>
      <w:r>
        <w:rPr>
          <w:rStyle w:val="FootnoteReference"/>
        </w:rPr>
        <w:footnoteRef/>
      </w:r>
      <w:r>
        <w:t xml:space="preserve"> </w:t>
      </w:r>
      <w:r w:rsidR="003773DF">
        <w:t>B</w:t>
      </w:r>
      <w:r>
        <w:t>oth Elbow and</w:t>
      </w:r>
      <w:r w:rsidR="003773DF">
        <w:t xml:space="preserve"> Bartholomae make mention of Jerome Bruner</w:t>
      </w:r>
      <w:r>
        <w:t xml:space="preserve">  in important writings around the time of their public debate—Elbow  in “Reflections on Academic Discourse” and Bartholomae in “Writing with Teachers”</w:t>
      </w:r>
    </w:p>
  </w:footnote>
  <w:footnote w:id="3">
    <w:p w:rsidR="00DE6747" w:rsidRDefault="00DE6747">
      <w:pPr>
        <w:pStyle w:val="FootnoteText"/>
      </w:pPr>
      <w:r>
        <w:rPr>
          <w:rStyle w:val="FootnoteReference"/>
        </w:rPr>
        <w:footnoteRef/>
      </w:r>
      <w:r>
        <w:t xml:space="preserve"> I rely here on the work of </w:t>
      </w:r>
      <w:r>
        <w:rPr>
          <w:rFonts w:eastAsia="Times New Roman"/>
        </w:rPr>
        <w:t>Harvey Kail in “</w:t>
      </w:r>
      <w:r w:rsidRPr="00F56908">
        <w:t>Narratives of Knowledge: Story and Pedagogy in Four Composition Texts</w:t>
      </w:r>
      <w:r>
        <w:t>” where he writes of the “master-narratives” of composition textbooks. I am suggesting a Merlin master-narrative.</w:t>
      </w:r>
    </w:p>
  </w:footnote>
  <w:footnote w:id="4">
    <w:p w:rsidR="00946C9B" w:rsidRDefault="00946C9B">
      <w:pPr>
        <w:pStyle w:val="FootnoteText"/>
      </w:pPr>
      <w:r>
        <w:rPr>
          <w:rStyle w:val="FootnoteReference"/>
        </w:rPr>
        <w:footnoteRef/>
      </w:r>
      <w:r>
        <w:t xml:space="preserve"> I am thinking of the student I most struggle with when teaching FYC—the student who is head-strong</w:t>
      </w:r>
      <w:r w:rsidR="000A0E7A">
        <w:t xml:space="preserve"> and</w:t>
      </w:r>
      <w:r>
        <w:t xml:space="preserve"> is committed to beliefs that do not necessarily mesh with the academic world. There are many exceptions to this kind of student.</w:t>
      </w:r>
    </w:p>
  </w:footnote>
  <w:footnote w:id="5">
    <w:p w:rsidR="00C21329" w:rsidRPr="00A12632" w:rsidRDefault="00C21329">
      <w:pPr>
        <w:pStyle w:val="FootnoteText"/>
      </w:pPr>
      <w:r>
        <w:rPr>
          <w:rStyle w:val="FootnoteReference"/>
        </w:rPr>
        <w:footnoteRef/>
      </w:r>
      <w:r>
        <w:t xml:space="preserve"> Bruner, in the Preface to </w:t>
      </w:r>
      <w:r w:rsidR="00A12632">
        <w:rPr>
          <w:i/>
        </w:rPr>
        <w:t>Actual Minds and Possible Worlds</w:t>
      </w:r>
      <w:r w:rsidR="00A12632">
        <w:t xml:space="preserve"> says, “‘Two Modes of Thought’ began as an invited address to the American Psychological Association” (ix), creating interesting connections between psychology, reading, and learning.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CC4" w:rsidRDefault="00AB4CC4" w:rsidP="00AB4CC4">
    <w:pPr>
      <w:pStyle w:val="Header"/>
      <w:jc w:val="right"/>
    </w:pPr>
    <w:r>
      <w:t xml:space="preserve">Smith </w:t>
    </w:r>
    <w:r>
      <w:fldChar w:fldCharType="begin"/>
    </w:r>
    <w:r>
      <w:instrText xml:space="preserve"> PAGE   \* MERGEFORMAT </w:instrText>
    </w:r>
    <w:r>
      <w:fldChar w:fldCharType="separate"/>
    </w:r>
    <w:r w:rsidR="00D45363">
      <w:rPr>
        <w:noProof/>
      </w:rPr>
      <w:t>1</w:t>
    </w:r>
    <w:r>
      <w:rPr>
        <w:noProof/>
      </w:rPr>
      <w:fldChar w:fldCharType="end"/>
    </w:r>
  </w:p>
  <w:p w:rsidR="00AB4CC4" w:rsidRDefault="00AB4C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03"/>
    <w:rsid w:val="000470E9"/>
    <w:rsid w:val="00050258"/>
    <w:rsid w:val="00084BA9"/>
    <w:rsid w:val="000A0E7A"/>
    <w:rsid w:val="000D6FA8"/>
    <w:rsid w:val="00111FC7"/>
    <w:rsid w:val="00155CDC"/>
    <w:rsid w:val="001B32E3"/>
    <w:rsid w:val="001E0C0D"/>
    <w:rsid w:val="00206265"/>
    <w:rsid w:val="0022780F"/>
    <w:rsid w:val="00241E73"/>
    <w:rsid w:val="002432F4"/>
    <w:rsid w:val="00245065"/>
    <w:rsid w:val="00247B0E"/>
    <w:rsid w:val="002538EE"/>
    <w:rsid w:val="002730FB"/>
    <w:rsid w:val="0029590C"/>
    <w:rsid w:val="0032181C"/>
    <w:rsid w:val="003260FD"/>
    <w:rsid w:val="0034337A"/>
    <w:rsid w:val="00344E0D"/>
    <w:rsid w:val="003664B2"/>
    <w:rsid w:val="003773DF"/>
    <w:rsid w:val="00385115"/>
    <w:rsid w:val="003E7750"/>
    <w:rsid w:val="00423570"/>
    <w:rsid w:val="004E29E4"/>
    <w:rsid w:val="004F6E8A"/>
    <w:rsid w:val="00525847"/>
    <w:rsid w:val="005459A3"/>
    <w:rsid w:val="00555932"/>
    <w:rsid w:val="005B78BF"/>
    <w:rsid w:val="005D3292"/>
    <w:rsid w:val="005F74ED"/>
    <w:rsid w:val="00602A09"/>
    <w:rsid w:val="0060566E"/>
    <w:rsid w:val="00616C3B"/>
    <w:rsid w:val="0068501E"/>
    <w:rsid w:val="006E24C6"/>
    <w:rsid w:val="007C4D93"/>
    <w:rsid w:val="007F190F"/>
    <w:rsid w:val="007F6EFA"/>
    <w:rsid w:val="0080269E"/>
    <w:rsid w:val="008170AF"/>
    <w:rsid w:val="008254C2"/>
    <w:rsid w:val="00871014"/>
    <w:rsid w:val="008A681F"/>
    <w:rsid w:val="009060E0"/>
    <w:rsid w:val="00906CC7"/>
    <w:rsid w:val="009210A5"/>
    <w:rsid w:val="009431FF"/>
    <w:rsid w:val="00946C9B"/>
    <w:rsid w:val="00953247"/>
    <w:rsid w:val="009A1A1F"/>
    <w:rsid w:val="00A038BE"/>
    <w:rsid w:val="00A12632"/>
    <w:rsid w:val="00A158FA"/>
    <w:rsid w:val="00A4329D"/>
    <w:rsid w:val="00A45DAD"/>
    <w:rsid w:val="00A51696"/>
    <w:rsid w:val="00A705D6"/>
    <w:rsid w:val="00AA331F"/>
    <w:rsid w:val="00AB4CC4"/>
    <w:rsid w:val="00AB68D5"/>
    <w:rsid w:val="00AE6933"/>
    <w:rsid w:val="00B003EC"/>
    <w:rsid w:val="00B1601B"/>
    <w:rsid w:val="00B257A0"/>
    <w:rsid w:val="00B5692A"/>
    <w:rsid w:val="00B74C12"/>
    <w:rsid w:val="00BF420D"/>
    <w:rsid w:val="00C21329"/>
    <w:rsid w:val="00C3051C"/>
    <w:rsid w:val="00C95EA1"/>
    <w:rsid w:val="00CD258A"/>
    <w:rsid w:val="00D45363"/>
    <w:rsid w:val="00D54B03"/>
    <w:rsid w:val="00DD3BBF"/>
    <w:rsid w:val="00DD3C2E"/>
    <w:rsid w:val="00DE6747"/>
    <w:rsid w:val="00E01988"/>
    <w:rsid w:val="00E02C87"/>
    <w:rsid w:val="00E274D7"/>
    <w:rsid w:val="00E50BE7"/>
    <w:rsid w:val="00E54D3C"/>
    <w:rsid w:val="00EB5A5B"/>
    <w:rsid w:val="00ED3157"/>
    <w:rsid w:val="00F40934"/>
    <w:rsid w:val="00F57869"/>
    <w:rsid w:val="00F770F3"/>
    <w:rsid w:val="00F86B7B"/>
    <w:rsid w:val="00FF5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1FEEF-7348-4C1E-9469-1D898E5E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3C2E"/>
    <w:pPr>
      <w:spacing w:after="0" w:line="240" w:lineRule="auto"/>
    </w:pPr>
  </w:style>
  <w:style w:type="paragraph" w:styleId="FootnoteText">
    <w:name w:val="footnote text"/>
    <w:basedOn w:val="Normal"/>
    <w:link w:val="FootnoteTextChar"/>
    <w:uiPriority w:val="99"/>
    <w:semiHidden/>
    <w:unhideWhenUsed/>
    <w:rsid w:val="005459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9A3"/>
    <w:rPr>
      <w:sz w:val="20"/>
      <w:szCs w:val="20"/>
    </w:rPr>
  </w:style>
  <w:style w:type="character" w:styleId="FootnoteReference">
    <w:name w:val="footnote reference"/>
    <w:basedOn w:val="DefaultParagraphFont"/>
    <w:uiPriority w:val="99"/>
    <w:semiHidden/>
    <w:unhideWhenUsed/>
    <w:rsid w:val="005459A3"/>
    <w:rPr>
      <w:vertAlign w:val="superscript"/>
    </w:rPr>
  </w:style>
  <w:style w:type="paragraph" w:styleId="Header">
    <w:name w:val="header"/>
    <w:basedOn w:val="Normal"/>
    <w:link w:val="HeaderChar"/>
    <w:uiPriority w:val="99"/>
    <w:unhideWhenUsed/>
    <w:rsid w:val="00AB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CC4"/>
  </w:style>
  <w:style w:type="paragraph" w:styleId="Footer">
    <w:name w:val="footer"/>
    <w:basedOn w:val="Normal"/>
    <w:link w:val="FooterChar"/>
    <w:uiPriority w:val="99"/>
    <w:unhideWhenUsed/>
    <w:rsid w:val="00AB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CC4"/>
  </w:style>
  <w:style w:type="paragraph" w:styleId="BalloonText">
    <w:name w:val="Balloon Text"/>
    <w:basedOn w:val="Normal"/>
    <w:link w:val="BalloonTextChar"/>
    <w:uiPriority w:val="99"/>
    <w:semiHidden/>
    <w:unhideWhenUsed/>
    <w:rsid w:val="00AB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22907">
      <w:bodyDiv w:val="1"/>
      <w:marLeft w:val="0"/>
      <w:marRight w:val="0"/>
      <w:marTop w:val="0"/>
      <w:marBottom w:val="0"/>
      <w:divBdr>
        <w:top w:val="none" w:sz="0" w:space="0" w:color="auto"/>
        <w:left w:val="none" w:sz="0" w:space="0" w:color="auto"/>
        <w:bottom w:val="none" w:sz="0" w:space="0" w:color="auto"/>
        <w:right w:val="none" w:sz="0" w:space="0" w:color="auto"/>
      </w:divBdr>
      <w:divsChild>
        <w:div w:id="1860310802">
          <w:marLeft w:val="0"/>
          <w:marRight w:val="0"/>
          <w:marTop w:val="0"/>
          <w:marBottom w:val="0"/>
          <w:divBdr>
            <w:top w:val="none" w:sz="0" w:space="0" w:color="auto"/>
            <w:left w:val="none" w:sz="0" w:space="0" w:color="auto"/>
            <w:bottom w:val="none" w:sz="0" w:space="0" w:color="auto"/>
            <w:right w:val="none" w:sz="0" w:space="0" w:color="auto"/>
          </w:divBdr>
        </w:div>
      </w:divsChild>
    </w:div>
    <w:div w:id="517621845">
      <w:bodyDiv w:val="1"/>
      <w:marLeft w:val="0"/>
      <w:marRight w:val="0"/>
      <w:marTop w:val="0"/>
      <w:marBottom w:val="0"/>
      <w:divBdr>
        <w:top w:val="none" w:sz="0" w:space="0" w:color="auto"/>
        <w:left w:val="none" w:sz="0" w:space="0" w:color="auto"/>
        <w:bottom w:val="none" w:sz="0" w:space="0" w:color="auto"/>
        <w:right w:val="none" w:sz="0" w:space="0" w:color="auto"/>
      </w:divBdr>
      <w:divsChild>
        <w:div w:id="1050153936">
          <w:marLeft w:val="0"/>
          <w:marRight w:val="0"/>
          <w:marTop w:val="0"/>
          <w:marBottom w:val="0"/>
          <w:divBdr>
            <w:top w:val="none" w:sz="0" w:space="0" w:color="auto"/>
            <w:left w:val="none" w:sz="0" w:space="0" w:color="auto"/>
            <w:bottom w:val="none" w:sz="0" w:space="0" w:color="auto"/>
            <w:right w:val="none" w:sz="0" w:space="0" w:color="auto"/>
          </w:divBdr>
        </w:div>
      </w:divsChild>
    </w:div>
    <w:div w:id="1085880015">
      <w:bodyDiv w:val="1"/>
      <w:marLeft w:val="0"/>
      <w:marRight w:val="0"/>
      <w:marTop w:val="0"/>
      <w:marBottom w:val="0"/>
      <w:divBdr>
        <w:top w:val="none" w:sz="0" w:space="0" w:color="auto"/>
        <w:left w:val="none" w:sz="0" w:space="0" w:color="auto"/>
        <w:bottom w:val="none" w:sz="0" w:space="0" w:color="auto"/>
        <w:right w:val="none" w:sz="0" w:space="0" w:color="auto"/>
      </w:divBdr>
      <w:divsChild>
        <w:div w:id="681590320">
          <w:marLeft w:val="0"/>
          <w:marRight w:val="0"/>
          <w:marTop w:val="0"/>
          <w:marBottom w:val="0"/>
          <w:divBdr>
            <w:top w:val="none" w:sz="0" w:space="0" w:color="auto"/>
            <w:left w:val="none" w:sz="0" w:space="0" w:color="auto"/>
            <w:bottom w:val="none" w:sz="0" w:space="0" w:color="auto"/>
            <w:right w:val="none" w:sz="0" w:space="0" w:color="auto"/>
          </w:divBdr>
        </w:div>
      </w:divsChild>
    </w:div>
    <w:div w:id="1314219312">
      <w:bodyDiv w:val="1"/>
      <w:marLeft w:val="0"/>
      <w:marRight w:val="0"/>
      <w:marTop w:val="0"/>
      <w:marBottom w:val="0"/>
      <w:divBdr>
        <w:top w:val="none" w:sz="0" w:space="0" w:color="auto"/>
        <w:left w:val="none" w:sz="0" w:space="0" w:color="auto"/>
        <w:bottom w:val="none" w:sz="0" w:space="0" w:color="auto"/>
        <w:right w:val="none" w:sz="0" w:space="0" w:color="auto"/>
      </w:divBdr>
      <w:divsChild>
        <w:div w:id="504709580">
          <w:marLeft w:val="0"/>
          <w:marRight w:val="0"/>
          <w:marTop w:val="0"/>
          <w:marBottom w:val="0"/>
          <w:divBdr>
            <w:top w:val="none" w:sz="0" w:space="0" w:color="auto"/>
            <w:left w:val="none" w:sz="0" w:space="0" w:color="auto"/>
            <w:bottom w:val="none" w:sz="0" w:space="0" w:color="auto"/>
            <w:right w:val="none" w:sz="0" w:space="0" w:color="auto"/>
          </w:divBdr>
        </w:div>
      </w:divsChild>
    </w:div>
    <w:div w:id="2121096886">
      <w:bodyDiv w:val="1"/>
      <w:marLeft w:val="0"/>
      <w:marRight w:val="0"/>
      <w:marTop w:val="0"/>
      <w:marBottom w:val="0"/>
      <w:divBdr>
        <w:top w:val="none" w:sz="0" w:space="0" w:color="auto"/>
        <w:left w:val="none" w:sz="0" w:space="0" w:color="auto"/>
        <w:bottom w:val="none" w:sz="0" w:space="0" w:color="auto"/>
        <w:right w:val="none" w:sz="0" w:space="0" w:color="auto"/>
      </w:divBdr>
      <w:divsChild>
        <w:div w:id="1673024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5EC2-11D9-41C1-86C1-378718683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2425</Words>
  <Characters>13828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dc:creator>
  <cp:lastModifiedBy>Renee</cp:lastModifiedBy>
  <cp:revision>2</cp:revision>
  <dcterms:created xsi:type="dcterms:W3CDTF">2016-02-11T15:36:00Z</dcterms:created>
  <dcterms:modified xsi:type="dcterms:W3CDTF">2016-02-11T15:36:00Z</dcterms:modified>
</cp:coreProperties>
</file>