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E84" w:rsidRDefault="001B0E84" w:rsidP="003B7102">
      <w:pPr>
        <w:spacing w:after="0"/>
        <w:rPr>
          <w:b/>
          <w:bCs/>
          <w:sz w:val="32"/>
          <w:szCs w:val="32"/>
        </w:rPr>
      </w:pPr>
      <w:r w:rsidRPr="006A0F52">
        <w:rPr>
          <w:b/>
          <w:bCs/>
          <w:sz w:val="32"/>
          <w:szCs w:val="32"/>
        </w:rPr>
        <w:t xml:space="preserve">Alaska FFA State Convention </w:t>
      </w:r>
    </w:p>
    <w:p w:rsidR="001B0E84" w:rsidRDefault="001B0E84" w:rsidP="003B7102">
      <w:pPr>
        <w:spacing w:after="0"/>
        <w:rPr>
          <w:b/>
          <w:bCs/>
          <w:sz w:val="32"/>
          <w:szCs w:val="32"/>
        </w:rPr>
      </w:pPr>
      <w:r>
        <w:rPr>
          <w:b/>
          <w:bCs/>
          <w:sz w:val="32"/>
          <w:szCs w:val="32"/>
        </w:rPr>
        <w:t>Prepared Public Speaking</w:t>
      </w:r>
      <w:r w:rsidRPr="001741F0">
        <w:rPr>
          <w:b/>
          <w:bCs/>
          <w:sz w:val="32"/>
          <w:szCs w:val="32"/>
        </w:rPr>
        <w:t xml:space="preserve"> CDE Outline </w:t>
      </w:r>
    </w:p>
    <w:p w:rsidR="001B0E84" w:rsidRDefault="001B0E84" w:rsidP="003B7102">
      <w:pPr>
        <w:spacing w:after="0"/>
        <w:rPr>
          <w:b/>
          <w:bCs/>
          <w:sz w:val="24"/>
          <w:szCs w:val="24"/>
        </w:rPr>
      </w:pPr>
    </w:p>
    <w:p w:rsidR="001B0E84" w:rsidRDefault="001B0E84" w:rsidP="003B7102">
      <w:pPr>
        <w:spacing w:after="0"/>
        <w:rPr>
          <w:b/>
          <w:bCs/>
          <w:sz w:val="24"/>
          <w:szCs w:val="24"/>
        </w:rPr>
      </w:pPr>
      <w:r w:rsidRPr="005C04BB">
        <w:rPr>
          <w:b/>
          <w:bCs/>
          <w:sz w:val="24"/>
          <w:szCs w:val="24"/>
        </w:rPr>
        <w:t>Even Rules and Format</w:t>
      </w:r>
      <w:r>
        <w:rPr>
          <w:b/>
          <w:bCs/>
          <w:sz w:val="24"/>
          <w:szCs w:val="24"/>
        </w:rPr>
        <w:t>:</w:t>
      </w:r>
    </w:p>
    <w:p w:rsidR="001B0E84" w:rsidRPr="00E6307D" w:rsidRDefault="001B0E84" w:rsidP="003B7102">
      <w:pPr>
        <w:pStyle w:val="ListParagraph"/>
        <w:numPr>
          <w:ilvl w:val="0"/>
          <w:numId w:val="1"/>
        </w:numPr>
        <w:spacing w:after="0"/>
        <w:rPr>
          <w:sz w:val="24"/>
          <w:szCs w:val="24"/>
        </w:rPr>
      </w:pPr>
      <w:r w:rsidRPr="00CA4C2F">
        <w:rPr>
          <w:b/>
          <w:bCs/>
          <w:sz w:val="24"/>
          <w:szCs w:val="24"/>
        </w:rPr>
        <w:t>Subjects:</w:t>
      </w:r>
      <w:r w:rsidRPr="00E6307D">
        <w:rPr>
          <w:sz w:val="24"/>
          <w:szCs w:val="24"/>
        </w:rPr>
        <w:t xml:space="preserve">  Participants may choose any current subject for their speeches, which is of an agicultural nature.  This may include agriscience and technology, agribusiness, agrimarketing, international agricultural relations</w:t>
      </w:r>
      <w:r>
        <w:rPr>
          <w:sz w:val="24"/>
          <w:szCs w:val="24"/>
        </w:rPr>
        <w:t>, agricultural communications or natural resources.</w:t>
      </w:r>
      <w:r w:rsidRPr="00E6307D">
        <w:rPr>
          <w:sz w:val="24"/>
          <w:szCs w:val="24"/>
        </w:rPr>
        <w:t xml:space="preserve">  </w:t>
      </w:r>
    </w:p>
    <w:p w:rsidR="001B0E84" w:rsidRPr="00E6307D" w:rsidRDefault="001B0E84" w:rsidP="003B7102">
      <w:pPr>
        <w:pStyle w:val="ListParagraph"/>
        <w:numPr>
          <w:ilvl w:val="0"/>
          <w:numId w:val="1"/>
        </w:numPr>
        <w:spacing w:after="0"/>
        <w:rPr>
          <w:sz w:val="24"/>
          <w:szCs w:val="24"/>
        </w:rPr>
      </w:pPr>
      <w:r w:rsidRPr="00CA4C2F">
        <w:rPr>
          <w:b/>
          <w:bCs/>
          <w:sz w:val="24"/>
          <w:szCs w:val="24"/>
        </w:rPr>
        <w:t>Time Limit</w:t>
      </w:r>
      <w:r w:rsidRPr="00E6307D">
        <w:rPr>
          <w:sz w:val="24"/>
          <w:szCs w:val="24"/>
        </w:rPr>
        <w:t>: Each speech shall be a minimum of six minutes in length and a maximum of eight minutes.  Each participant will be allowed five minutes additional time in which he or she will be asked questions relating to his or her speech.  Participants are to be penalized one point per second on each judge’s</w:t>
      </w:r>
      <w:r>
        <w:rPr>
          <w:sz w:val="24"/>
          <w:szCs w:val="24"/>
        </w:rPr>
        <w:t xml:space="preserve"> score sheet for being under six</w:t>
      </w:r>
      <w:r w:rsidRPr="00E6307D">
        <w:rPr>
          <w:sz w:val="24"/>
          <w:szCs w:val="24"/>
        </w:rPr>
        <w:t xml:space="preserve"> mintes or over each minutes.</w:t>
      </w:r>
    </w:p>
    <w:p w:rsidR="001B0E84" w:rsidRDefault="001B0E84" w:rsidP="003B7102">
      <w:pPr>
        <w:pStyle w:val="ListParagraph"/>
        <w:numPr>
          <w:ilvl w:val="0"/>
          <w:numId w:val="1"/>
        </w:numPr>
        <w:spacing w:after="0"/>
        <w:rPr>
          <w:sz w:val="24"/>
          <w:szCs w:val="24"/>
        </w:rPr>
      </w:pPr>
      <w:r>
        <w:rPr>
          <w:b/>
          <w:bCs/>
          <w:sz w:val="24"/>
          <w:szCs w:val="24"/>
        </w:rPr>
        <w:t>Ma</w:t>
      </w:r>
      <w:r w:rsidRPr="00CA4C2F">
        <w:rPr>
          <w:b/>
          <w:bCs/>
          <w:sz w:val="24"/>
          <w:szCs w:val="24"/>
        </w:rPr>
        <w:t>nuscripts:</w:t>
      </w:r>
      <w:r w:rsidRPr="0056156B">
        <w:rPr>
          <w:b/>
          <w:sz w:val="24"/>
          <w:szCs w:val="24"/>
          <w:u w:val="single"/>
        </w:rPr>
        <w:t xml:space="preserve">  Participants must MAIL the following to Alaska FFA Association 5150 N. Palmer Fishhook Rd. Palmer, AK 99645.  Postmarked by April 12, 2013.   </w:t>
      </w:r>
    </w:p>
    <w:p w:rsidR="001B0E84" w:rsidRDefault="001B0E84" w:rsidP="0056156B">
      <w:pPr>
        <w:pStyle w:val="ListParagraph"/>
        <w:numPr>
          <w:ilvl w:val="1"/>
          <w:numId w:val="1"/>
        </w:numPr>
        <w:spacing w:after="0"/>
        <w:rPr>
          <w:sz w:val="24"/>
          <w:szCs w:val="24"/>
        </w:rPr>
      </w:pPr>
      <w:r w:rsidRPr="0056156B">
        <w:rPr>
          <w:b/>
          <w:sz w:val="24"/>
          <w:szCs w:val="24"/>
        </w:rPr>
        <w:t>Five</w:t>
      </w:r>
      <w:r>
        <w:rPr>
          <w:sz w:val="24"/>
          <w:szCs w:val="24"/>
        </w:rPr>
        <w:t xml:space="preserve"> –double spaced typewritten copies of the speech on 8 ½ x 11” white bond paper with cover page that gives the speech title, participant’s name, and date.  The body of the manuscript will have 1” margins.  Font size must be 10-12 using Times New Roman, Arial, or Courier font.  Follow APA style manual for developing references and bibliography.  Do not bind, but place a staple in upper left corner.  Manuscripts not meeting these guidelines will be penalized.</w:t>
      </w:r>
    </w:p>
    <w:p w:rsidR="001B0E84" w:rsidRDefault="001B0E84" w:rsidP="003B7102">
      <w:pPr>
        <w:pStyle w:val="ListParagraph"/>
        <w:numPr>
          <w:ilvl w:val="0"/>
          <w:numId w:val="1"/>
        </w:numPr>
        <w:spacing w:after="0"/>
        <w:rPr>
          <w:sz w:val="24"/>
          <w:szCs w:val="24"/>
        </w:rPr>
      </w:pPr>
      <w:r w:rsidRPr="00CA4C2F">
        <w:rPr>
          <w:b/>
          <w:bCs/>
          <w:sz w:val="24"/>
          <w:szCs w:val="24"/>
        </w:rPr>
        <w:t>Bibliography:</w:t>
      </w:r>
      <w:r>
        <w:rPr>
          <w:sz w:val="24"/>
          <w:szCs w:val="24"/>
        </w:rPr>
        <w:t xml:space="preserve"> A complete and accurate bibliography/reference list following APA publication </w:t>
      </w:r>
      <w:r w:rsidRPr="00E6307D">
        <w:rPr>
          <w:sz w:val="24"/>
          <w:szCs w:val="24"/>
        </w:rPr>
        <w:t xml:space="preserve">manual citing all sources used in writing the speech must be included.  </w:t>
      </w:r>
    </w:p>
    <w:p w:rsidR="001B0E84" w:rsidRPr="00CA4C2F" w:rsidRDefault="001B0E84" w:rsidP="003B7102">
      <w:pPr>
        <w:pStyle w:val="ListParagraph"/>
        <w:numPr>
          <w:ilvl w:val="0"/>
          <w:numId w:val="1"/>
        </w:numPr>
        <w:spacing w:after="0"/>
        <w:rPr>
          <w:b/>
          <w:bCs/>
          <w:sz w:val="24"/>
          <w:szCs w:val="24"/>
        </w:rPr>
      </w:pPr>
      <w:r w:rsidRPr="00CA4C2F">
        <w:rPr>
          <w:b/>
          <w:bCs/>
          <w:sz w:val="24"/>
          <w:szCs w:val="24"/>
        </w:rPr>
        <w:t>Scoring:</w:t>
      </w:r>
    </w:p>
    <w:p w:rsidR="001B0E84" w:rsidRPr="0044243A" w:rsidRDefault="001B0E84" w:rsidP="003B7102">
      <w:pPr>
        <w:pStyle w:val="ListParagraph"/>
        <w:numPr>
          <w:ilvl w:val="1"/>
          <w:numId w:val="1"/>
        </w:numPr>
        <w:spacing w:after="0"/>
        <w:rPr>
          <w:sz w:val="24"/>
          <w:szCs w:val="24"/>
        </w:rPr>
      </w:pPr>
      <w:r w:rsidRPr="0044243A">
        <w:rPr>
          <w:color w:val="262424"/>
          <w:sz w:val="24"/>
          <w:szCs w:val="24"/>
        </w:rPr>
        <w:t xml:space="preserve">Content of the manuscript. . . . . 200 points </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Importance and appropriateness of the subject</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Suitability of the material used</w:t>
      </w:r>
    </w:p>
    <w:p w:rsidR="001B0E84" w:rsidRPr="00E6307D" w:rsidRDefault="001B0E84" w:rsidP="003B7102">
      <w:pPr>
        <w:pStyle w:val="Pa18"/>
        <w:ind w:left="2160"/>
        <w:rPr>
          <w:rFonts w:ascii="Calibri" w:hAnsi="Calibri" w:cs="Calibri"/>
          <w:color w:val="262424"/>
        </w:rPr>
      </w:pPr>
      <w:r w:rsidRPr="00E6307D">
        <w:rPr>
          <w:rFonts w:ascii="Calibri" w:hAnsi="Calibri" w:cs="Calibri"/>
          <w:color w:val="262424"/>
        </w:rPr>
        <w:t>Accuracy of the statements included</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Evidence of purpose</w:t>
      </w:r>
    </w:p>
    <w:p w:rsidR="001B0E84" w:rsidRPr="0044243A" w:rsidRDefault="001B0E84" w:rsidP="003B7102">
      <w:pPr>
        <w:pStyle w:val="Pa18"/>
        <w:ind w:left="1440" w:firstLine="720"/>
        <w:rPr>
          <w:rFonts w:ascii="Calibri" w:hAnsi="Calibri" w:cs="Calibri"/>
          <w:color w:val="262424"/>
        </w:rPr>
      </w:pPr>
      <w:r w:rsidRPr="00E6307D">
        <w:rPr>
          <w:rFonts w:ascii="Calibri" w:hAnsi="Calibri" w:cs="Calibri"/>
          <w:color w:val="262424"/>
        </w:rPr>
        <w:t xml:space="preserve">Completeness and accuracy of bibliography </w:t>
      </w:r>
    </w:p>
    <w:p w:rsidR="001B0E84" w:rsidRPr="00E6307D" w:rsidRDefault="001B0E84" w:rsidP="003B7102">
      <w:pPr>
        <w:pStyle w:val="Pa19"/>
        <w:ind w:left="720" w:firstLine="720"/>
        <w:rPr>
          <w:rFonts w:ascii="Calibri" w:hAnsi="Calibri" w:cs="Calibri"/>
          <w:color w:val="262424"/>
        </w:rPr>
      </w:pPr>
      <w:r>
        <w:rPr>
          <w:rFonts w:ascii="Calibri" w:hAnsi="Calibri" w:cs="Calibri"/>
          <w:color w:val="262424"/>
        </w:rPr>
        <w:t>b</w:t>
      </w:r>
      <w:r w:rsidRPr="00E6307D">
        <w:rPr>
          <w:rFonts w:ascii="Calibri" w:hAnsi="Calibri" w:cs="Calibri"/>
          <w:color w:val="262424"/>
        </w:rPr>
        <w:t>. Composition of the manuscript: . . . . . . . . . . . . . . 100 points</w:t>
      </w:r>
    </w:p>
    <w:p w:rsidR="001B0E84" w:rsidRPr="00E6307D" w:rsidRDefault="001B0E84" w:rsidP="003B7102">
      <w:pPr>
        <w:pStyle w:val="Pa18"/>
        <w:ind w:left="2160"/>
        <w:rPr>
          <w:rFonts w:ascii="Calibri" w:hAnsi="Calibri" w:cs="Calibri"/>
          <w:color w:val="262424"/>
        </w:rPr>
      </w:pPr>
      <w:r w:rsidRPr="00E6307D">
        <w:rPr>
          <w:rFonts w:ascii="Calibri" w:hAnsi="Calibri" w:cs="Calibri"/>
          <w:color w:val="262424"/>
        </w:rPr>
        <w:t>Organization of the content</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Unity of thought</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Logical development</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Language used</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Sentence structure</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Accomplishment of purpose-conclusions</w:t>
      </w:r>
    </w:p>
    <w:p w:rsidR="001B0E84" w:rsidRPr="00E6307D" w:rsidRDefault="001B0E84" w:rsidP="003B7102">
      <w:pPr>
        <w:pStyle w:val="Pa17"/>
        <w:ind w:left="720" w:firstLine="720"/>
        <w:rPr>
          <w:rFonts w:ascii="Calibri" w:hAnsi="Calibri" w:cs="Calibri"/>
          <w:color w:val="262424"/>
        </w:rPr>
      </w:pPr>
      <w:r>
        <w:rPr>
          <w:rFonts w:ascii="Calibri" w:hAnsi="Calibri" w:cs="Calibri"/>
          <w:color w:val="262424"/>
        </w:rPr>
        <w:t>c</w:t>
      </w:r>
      <w:r w:rsidRPr="00E6307D">
        <w:rPr>
          <w:rFonts w:ascii="Calibri" w:hAnsi="Calibri" w:cs="Calibri"/>
          <w:color w:val="262424"/>
        </w:rPr>
        <w:t>. Voice. . . . . . . . . . . . . . . . . . . . . . 100 points</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Quality</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Pitch</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Pronunciation</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Articulation</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 xml:space="preserve">Force </w:t>
      </w:r>
    </w:p>
    <w:p w:rsidR="001B0E84" w:rsidRPr="00E6307D" w:rsidRDefault="001B0E84" w:rsidP="003B7102">
      <w:pPr>
        <w:pStyle w:val="Pa19"/>
        <w:ind w:left="720" w:firstLine="720"/>
        <w:rPr>
          <w:rFonts w:ascii="Calibri" w:hAnsi="Calibri" w:cs="Calibri"/>
          <w:color w:val="262424"/>
        </w:rPr>
      </w:pPr>
      <w:r>
        <w:rPr>
          <w:rFonts w:ascii="Calibri" w:hAnsi="Calibri" w:cs="Calibri"/>
          <w:color w:val="262424"/>
        </w:rPr>
        <w:t>d</w:t>
      </w:r>
      <w:r w:rsidRPr="00E6307D">
        <w:rPr>
          <w:rFonts w:ascii="Calibri" w:hAnsi="Calibri" w:cs="Calibri"/>
          <w:color w:val="262424"/>
        </w:rPr>
        <w:t>. Stage Presence . . . . . . . . . . . . . . 100 points</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Personal appearance</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Poise and body posture</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Attitude</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Confidence</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Personality</w:t>
      </w:r>
    </w:p>
    <w:p w:rsidR="001B0E84" w:rsidRPr="00E6307D" w:rsidRDefault="001B0E84" w:rsidP="003B7102">
      <w:pPr>
        <w:pStyle w:val="Pa19"/>
        <w:ind w:left="720" w:firstLine="720"/>
        <w:rPr>
          <w:rFonts w:ascii="Calibri" w:hAnsi="Calibri" w:cs="Calibri"/>
          <w:color w:val="262424"/>
        </w:rPr>
      </w:pPr>
      <w:r>
        <w:rPr>
          <w:rFonts w:ascii="Calibri" w:hAnsi="Calibri" w:cs="Calibri"/>
          <w:color w:val="262424"/>
        </w:rPr>
        <w:t>e</w:t>
      </w:r>
      <w:r w:rsidRPr="00E6307D">
        <w:rPr>
          <w:rFonts w:ascii="Calibri" w:hAnsi="Calibri" w:cs="Calibri"/>
          <w:color w:val="262424"/>
        </w:rPr>
        <w:t>. Power of expression: . . . . . . . . . 100 points</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Fluency</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Emphasis</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Directness</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Sincerity</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Communicative ability</w:t>
      </w:r>
    </w:p>
    <w:p w:rsidR="001B0E84" w:rsidRPr="00E6307D" w:rsidRDefault="001B0E84" w:rsidP="003B7102">
      <w:pPr>
        <w:pStyle w:val="Pa18"/>
        <w:ind w:left="1440" w:firstLine="720"/>
        <w:rPr>
          <w:rFonts w:ascii="Calibri" w:hAnsi="Calibri" w:cs="Calibri"/>
          <w:color w:val="262424"/>
        </w:rPr>
      </w:pPr>
      <w:r w:rsidRPr="00E6307D">
        <w:rPr>
          <w:rFonts w:ascii="Calibri" w:hAnsi="Calibri" w:cs="Calibri"/>
          <w:color w:val="262424"/>
        </w:rPr>
        <w:t xml:space="preserve">Conveyance of thought and meaning </w:t>
      </w:r>
    </w:p>
    <w:p w:rsidR="001B0E84" w:rsidRPr="00E6307D" w:rsidRDefault="001B0E84" w:rsidP="003B7102">
      <w:pPr>
        <w:pStyle w:val="Pa19"/>
        <w:ind w:left="720" w:firstLine="720"/>
        <w:rPr>
          <w:rFonts w:ascii="Calibri" w:hAnsi="Calibri" w:cs="Calibri"/>
          <w:color w:val="262424"/>
        </w:rPr>
      </w:pPr>
      <w:r>
        <w:rPr>
          <w:rFonts w:ascii="Calibri" w:hAnsi="Calibri" w:cs="Calibri"/>
          <w:color w:val="262424"/>
        </w:rPr>
        <w:t>f</w:t>
      </w:r>
      <w:r w:rsidRPr="00E6307D">
        <w:rPr>
          <w:rFonts w:ascii="Calibri" w:hAnsi="Calibri" w:cs="Calibri"/>
          <w:color w:val="262424"/>
        </w:rPr>
        <w:t>. Response to questions:. . . . . . . . 300 points</w:t>
      </w:r>
    </w:p>
    <w:p w:rsidR="001B0E84" w:rsidRPr="00E6307D" w:rsidRDefault="001B0E84" w:rsidP="003B7102">
      <w:pPr>
        <w:pStyle w:val="Pa21"/>
        <w:ind w:left="2160"/>
        <w:rPr>
          <w:rFonts w:ascii="Calibri" w:hAnsi="Calibri" w:cs="Calibri"/>
          <w:color w:val="262424"/>
        </w:rPr>
      </w:pPr>
      <w:r w:rsidRPr="00E6307D">
        <w:rPr>
          <w:rFonts w:ascii="Calibri" w:hAnsi="Calibri" w:cs="Calibri"/>
          <w:color w:val="262424"/>
        </w:rPr>
        <w:t xml:space="preserve">Ability to answer satisfactorily questions asked by the judges on the speech, indicating originality, familiarity with subject and ability to think quickly. </w:t>
      </w:r>
    </w:p>
    <w:p w:rsidR="001B0E84" w:rsidRPr="00E6307D" w:rsidRDefault="001B0E84" w:rsidP="003B7102">
      <w:pPr>
        <w:pStyle w:val="Pa19"/>
        <w:ind w:left="720" w:firstLine="720"/>
        <w:rPr>
          <w:rFonts w:ascii="Calibri" w:hAnsi="Calibri" w:cs="Calibri"/>
          <w:color w:val="262424"/>
        </w:rPr>
      </w:pPr>
      <w:r>
        <w:rPr>
          <w:rFonts w:ascii="Calibri" w:hAnsi="Calibri" w:cs="Calibri"/>
          <w:color w:val="262424"/>
        </w:rPr>
        <w:t>g</w:t>
      </w:r>
      <w:r w:rsidRPr="00E6307D">
        <w:rPr>
          <w:rFonts w:ascii="Calibri" w:hAnsi="Calibri" w:cs="Calibri"/>
          <w:color w:val="262424"/>
        </w:rPr>
        <w:t>. General effect: . . . . . . . . . . . . . . 100 points</w:t>
      </w:r>
    </w:p>
    <w:p w:rsidR="001B0E84" w:rsidRDefault="001B0E84" w:rsidP="003B7102">
      <w:pPr>
        <w:pStyle w:val="ListParagraph"/>
        <w:spacing w:after="0"/>
        <w:ind w:left="2160"/>
        <w:rPr>
          <w:color w:val="262424"/>
          <w:sz w:val="24"/>
          <w:szCs w:val="24"/>
        </w:rPr>
      </w:pPr>
      <w:r w:rsidRPr="00E6307D">
        <w:rPr>
          <w:color w:val="262424"/>
          <w:sz w:val="24"/>
          <w:szCs w:val="24"/>
        </w:rPr>
        <w:t>Extent to which the speech was interesting, understandable, convincing, pleasing and held attention.</w:t>
      </w:r>
    </w:p>
    <w:p w:rsidR="001B0E84" w:rsidRPr="003B7102" w:rsidRDefault="001B0E84">
      <w:pPr>
        <w:rPr>
          <w:color w:val="262424"/>
          <w:sz w:val="24"/>
          <w:szCs w:val="24"/>
        </w:rPr>
      </w:pPr>
    </w:p>
    <w:sectPr w:rsidR="001B0E84" w:rsidRPr="003B7102" w:rsidSect="0034252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KNDFT+JansonText-BoldItalic">
    <w:altName w:val="Janson Text"/>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548A1"/>
    <w:multiLevelType w:val="hybridMultilevel"/>
    <w:tmpl w:val="684452FC"/>
    <w:lvl w:ilvl="0" w:tplc="DD06D51A">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rsids>
    <w:rsidRoot w:val="003B7102"/>
    <w:rsid w:val="00000B26"/>
    <w:rsid w:val="00023F1F"/>
    <w:rsid w:val="000852A5"/>
    <w:rsid w:val="000A4144"/>
    <w:rsid w:val="000A6F20"/>
    <w:rsid w:val="000C5CD5"/>
    <w:rsid w:val="000D23C3"/>
    <w:rsid w:val="000F076E"/>
    <w:rsid w:val="00104426"/>
    <w:rsid w:val="0012678D"/>
    <w:rsid w:val="001416A3"/>
    <w:rsid w:val="001418D3"/>
    <w:rsid w:val="001571E1"/>
    <w:rsid w:val="001741F0"/>
    <w:rsid w:val="001778B0"/>
    <w:rsid w:val="00191C44"/>
    <w:rsid w:val="001A0911"/>
    <w:rsid w:val="001A774D"/>
    <w:rsid w:val="001B0E84"/>
    <w:rsid w:val="001C03DA"/>
    <w:rsid w:val="001D4E41"/>
    <w:rsid w:val="001D7482"/>
    <w:rsid w:val="001E227D"/>
    <w:rsid w:val="001E51F2"/>
    <w:rsid w:val="0020290F"/>
    <w:rsid w:val="002139F1"/>
    <w:rsid w:val="00235B97"/>
    <w:rsid w:val="0026793B"/>
    <w:rsid w:val="00272331"/>
    <w:rsid w:val="00272F1E"/>
    <w:rsid w:val="002A6618"/>
    <w:rsid w:val="002A7220"/>
    <w:rsid w:val="002B10A7"/>
    <w:rsid w:val="002B659F"/>
    <w:rsid w:val="002C4BDA"/>
    <w:rsid w:val="002C5CBC"/>
    <w:rsid w:val="002F5F0D"/>
    <w:rsid w:val="002F5F8A"/>
    <w:rsid w:val="00325F51"/>
    <w:rsid w:val="0034252A"/>
    <w:rsid w:val="00347D22"/>
    <w:rsid w:val="0036295E"/>
    <w:rsid w:val="00366193"/>
    <w:rsid w:val="0039107A"/>
    <w:rsid w:val="0039460C"/>
    <w:rsid w:val="003A06D9"/>
    <w:rsid w:val="003A4509"/>
    <w:rsid w:val="003B681F"/>
    <w:rsid w:val="003B7102"/>
    <w:rsid w:val="003C2B5F"/>
    <w:rsid w:val="003D42EE"/>
    <w:rsid w:val="00401D31"/>
    <w:rsid w:val="00421A80"/>
    <w:rsid w:val="00433922"/>
    <w:rsid w:val="00434BDF"/>
    <w:rsid w:val="0044243A"/>
    <w:rsid w:val="00447F8E"/>
    <w:rsid w:val="004602F7"/>
    <w:rsid w:val="004A4D1B"/>
    <w:rsid w:val="004B1759"/>
    <w:rsid w:val="004B3B33"/>
    <w:rsid w:val="004D7FC2"/>
    <w:rsid w:val="004E7E9F"/>
    <w:rsid w:val="004F06A1"/>
    <w:rsid w:val="00501863"/>
    <w:rsid w:val="0050363C"/>
    <w:rsid w:val="005253DF"/>
    <w:rsid w:val="0054751F"/>
    <w:rsid w:val="005577BB"/>
    <w:rsid w:val="0056156B"/>
    <w:rsid w:val="005A550A"/>
    <w:rsid w:val="005C04BB"/>
    <w:rsid w:val="005C0854"/>
    <w:rsid w:val="005F1ED2"/>
    <w:rsid w:val="005F453A"/>
    <w:rsid w:val="006426C8"/>
    <w:rsid w:val="00645652"/>
    <w:rsid w:val="00655ED2"/>
    <w:rsid w:val="00656588"/>
    <w:rsid w:val="0065795C"/>
    <w:rsid w:val="00661D78"/>
    <w:rsid w:val="006955F1"/>
    <w:rsid w:val="006A0F52"/>
    <w:rsid w:val="006A326D"/>
    <w:rsid w:val="006B3389"/>
    <w:rsid w:val="006B4199"/>
    <w:rsid w:val="006C6E1E"/>
    <w:rsid w:val="006E0980"/>
    <w:rsid w:val="006E1C51"/>
    <w:rsid w:val="0071676E"/>
    <w:rsid w:val="00727589"/>
    <w:rsid w:val="00744251"/>
    <w:rsid w:val="007534E3"/>
    <w:rsid w:val="00755203"/>
    <w:rsid w:val="0077583E"/>
    <w:rsid w:val="007A1E46"/>
    <w:rsid w:val="007D26F1"/>
    <w:rsid w:val="007D5A84"/>
    <w:rsid w:val="007E5297"/>
    <w:rsid w:val="007F5232"/>
    <w:rsid w:val="007F68D5"/>
    <w:rsid w:val="00801287"/>
    <w:rsid w:val="00804562"/>
    <w:rsid w:val="0080735F"/>
    <w:rsid w:val="00825D1A"/>
    <w:rsid w:val="00827E65"/>
    <w:rsid w:val="00840481"/>
    <w:rsid w:val="00841F5C"/>
    <w:rsid w:val="00847F72"/>
    <w:rsid w:val="00880C22"/>
    <w:rsid w:val="00885F62"/>
    <w:rsid w:val="008913AA"/>
    <w:rsid w:val="008A1555"/>
    <w:rsid w:val="008A7203"/>
    <w:rsid w:val="008C3BDC"/>
    <w:rsid w:val="008E752E"/>
    <w:rsid w:val="00945BBB"/>
    <w:rsid w:val="00945F06"/>
    <w:rsid w:val="009464EA"/>
    <w:rsid w:val="00946D01"/>
    <w:rsid w:val="00965E94"/>
    <w:rsid w:val="00987E25"/>
    <w:rsid w:val="009A1A3E"/>
    <w:rsid w:val="009C50F3"/>
    <w:rsid w:val="009D3B54"/>
    <w:rsid w:val="00A02BFC"/>
    <w:rsid w:val="00A1696A"/>
    <w:rsid w:val="00A33988"/>
    <w:rsid w:val="00A34D27"/>
    <w:rsid w:val="00A37E2A"/>
    <w:rsid w:val="00A54266"/>
    <w:rsid w:val="00A67609"/>
    <w:rsid w:val="00A677A9"/>
    <w:rsid w:val="00A707DE"/>
    <w:rsid w:val="00AA2C87"/>
    <w:rsid w:val="00AC428F"/>
    <w:rsid w:val="00AE109E"/>
    <w:rsid w:val="00AE2FFC"/>
    <w:rsid w:val="00AF1296"/>
    <w:rsid w:val="00B10C2A"/>
    <w:rsid w:val="00B11634"/>
    <w:rsid w:val="00B1667B"/>
    <w:rsid w:val="00B37580"/>
    <w:rsid w:val="00B46110"/>
    <w:rsid w:val="00B47D32"/>
    <w:rsid w:val="00B542D5"/>
    <w:rsid w:val="00B60132"/>
    <w:rsid w:val="00B614BB"/>
    <w:rsid w:val="00B64012"/>
    <w:rsid w:val="00B759A7"/>
    <w:rsid w:val="00B95942"/>
    <w:rsid w:val="00BD089A"/>
    <w:rsid w:val="00BD65E2"/>
    <w:rsid w:val="00C0570E"/>
    <w:rsid w:val="00C133F1"/>
    <w:rsid w:val="00C31C8D"/>
    <w:rsid w:val="00C33F59"/>
    <w:rsid w:val="00C342BC"/>
    <w:rsid w:val="00C46175"/>
    <w:rsid w:val="00C50764"/>
    <w:rsid w:val="00C54507"/>
    <w:rsid w:val="00C63B45"/>
    <w:rsid w:val="00C66122"/>
    <w:rsid w:val="00C82A25"/>
    <w:rsid w:val="00C97E81"/>
    <w:rsid w:val="00CA4C2F"/>
    <w:rsid w:val="00CC0B15"/>
    <w:rsid w:val="00CD07BE"/>
    <w:rsid w:val="00CD1715"/>
    <w:rsid w:val="00CE4678"/>
    <w:rsid w:val="00CF7610"/>
    <w:rsid w:val="00D1172B"/>
    <w:rsid w:val="00D14965"/>
    <w:rsid w:val="00D21D0F"/>
    <w:rsid w:val="00D455C0"/>
    <w:rsid w:val="00D6667E"/>
    <w:rsid w:val="00DA019C"/>
    <w:rsid w:val="00DB3D10"/>
    <w:rsid w:val="00DE5A60"/>
    <w:rsid w:val="00E02179"/>
    <w:rsid w:val="00E2049F"/>
    <w:rsid w:val="00E2333F"/>
    <w:rsid w:val="00E45BD1"/>
    <w:rsid w:val="00E6307D"/>
    <w:rsid w:val="00E73BCE"/>
    <w:rsid w:val="00E84EB5"/>
    <w:rsid w:val="00EA5447"/>
    <w:rsid w:val="00EA66C2"/>
    <w:rsid w:val="00EA6817"/>
    <w:rsid w:val="00EC764E"/>
    <w:rsid w:val="00ED1A9D"/>
    <w:rsid w:val="00F31C88"/>
    <w:rsid w:val="00F352FC"/>
    <w:rsid w:val="00F36F1F"/>
    <w:rsid w:val="00F63A1E"/>
    <w:rsid w:val="00F879B7"/>
    <w:rsid w:val="00F87A95"/>
    <w:rsid w:val="00F97363"/>
    <w:rsid w:val="00FA21D5"/>
    <w:rsid w:val="00FA709F"/>
    <w:rsid w:val="00FB3B3F"/>
    <w:rsid w:val="00FE4F64"/>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02"/>
    <w:pPr>
      <w:spacing w:after="200" w:line="276" w:lineRule="auto"/>
    </w:pPr>
    <w:rPr>
      <w:rFonts w:cs="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3B7102"/>
    <w:pPr>
      <w:ind w:left="720"/>
      <w:contextualSpacing/>
    </w:pPr>
  </w:style>
  <w:style w:type="paragraph" w:customStyle="1" w:styleId="Pa17">
    <w:name w:val="Pa17"/>
    <w:basedOn w:val="Normal"/>
    <w:next w:val="Normal"/>
    <w:uiPriority w:val="99"/>
    <w:rsid w:val="003B7102"/>
    <w:pPr>
      <w:autoSpaceDE w:val="0"/>
      <w:autoSpaceDN w:val="0"/>
      <w:adjustRightInd w:val="0"/>
      <w:spacing w:after="0" w:line="201" w:lineRule="atLeast"/>
    </w:pPr>
    <w:rPr>
      <w:rFonts w:ascii="WKNDFT+JansonText-BoldItalic" w:hAnsi="WKNDFT+JansonText-BoldItalic" w:cs="WKNDFT+JansonText-BoldItalic"/>
      <w:sz w:val="24"/>
      <w:szCs w:val="24"/>
    </w:rPr>
  </w:style>
  <w:style w:type="paragraph" w:customStyle="1" w:styleId="Pa18">
    <w:name w:val="Pa18"/>
    <w:basedOn w:val="Normal"/>
    <w:next w:val="Normal"/>
    <w:uiPriority w:val="99"/>
    <w:rsid w:val="003B7102"/>
    <w:pPr>
      <w:autoSpaceDE w:val="0"/>
      <w:autoSpaceDN w:val="0"/>
      <w:adjustRightInd w:val="0"/>
      <w:spacing w:after="0" w:line="201" w:lineRule="atLeast"/>
    </w:pPr>
    <w:rPr>
      <w:rFonts w:ascii="WKNDFT+JansonText-BoldItalic" w:hAnsi="WKNDFT+JansonText-BoldItalic" w:cs="WKNDFT+JansonText-BoldItalic"/>
      <w:sz w:val="24"/>
      <w:szCs w:val="24"/>
    </w:rPr>
  </w:style>
  <w:style w:type="paragraph" w:customStyle="1" w:styleId="Pa19">
    <w:name w:val="Pa19"/>
    <w:basedOn w:val="Normal"/>
    <w:next w:val="Normal"/>
    <w:uiPriority w:val="99"/>
    <w:rsid w:val="003B7102"/>
    <w:pPr>
      <w:autoSpaceDE w:val="0"/>
      <w:autoSpaceDN w:val="0"/>
      <w:adjustRightInd w:val="0"/>
      <w:spacing w:after="0" w:line="201" w:lineRule="atLeast"/>
    </w:pPr>
    <w:rPr>
      <w:rFonts w:ascii="WKNDFT+JansonText-BoldItalic" w:hAnsi="WKNDFT+JansonText-BoldItalic" w:cs="WKNDFT+JansonText-BoldItalic"/>
      <w:sz w:val="24"/>
      <w:szCs w:val="24"/>
    </w:rPr>
  </w:style>
  <w:style w:type="paragraph" w:customStyle="1" w:styleId="Pa21">
    <w:name w:val="Pa21"/>
    <w:basedOn w:val="Normal"/>
    <w:next w:val="Normal"/>
    <w:uiPriority w:val="99"/>
    <w:rsid w:val="003B7102"/>
    <w:pPr>
      <w:autoSpaceDE w:val="0"/>
      <w:autoSpaceDN w:val="0"/>
      <w:adjustRightInd w:val="0"/>
      <w:spacing w:after="0" w:line="201" w:lineRule="atLeast"/>
    </w:pPr>
    <w:rPr>
      <w:rFonts w:ascii="WKNDFT+JansonText-BoldItalic" w:hAnsi="WKNDFT+JansonText-BoldItalic" w:cs="WKNDFT+JansonText-BoldItalic"/>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Macintosh Word</Application>
  <DocSecurity>0</DocSecurity>
  <Lines>18</Lines>
  <Paragraphs>4</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FFA State Convention </dc:title>
  <dc:subject/>
  <dc:creator>Charles Kenley</dc:creator>
  <cp:keywords/>
  <dc:description/>
  <cp:lastModifiedBy>Hannah Harrison</cp:lastModifiedBy>
  <cp:revision>2</cp:revision>
  <dcterms:created xsi:type="dcterms:W3CDTF">2013-02-17T04:09:00Z</dcterms:created>
  <dcterms:modified xsi:type="dcterms:W3CDTF">2013-02-17T04:09:00Z</dcterms:modified>
</cp:coreProperties>
</file>