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205" w:rsidRDefault="00C52205" w:rsidP="00C52205">
      <w:pPr>
        <w:numPr>
          <w:ilvl w:val="12"/>
          <w:numId w:val="0"/>
        </w:numPr>
        <w:spacing w:line="260" w:lineRule="exact"/>
        <w:jc w:val="both"/>
      </w:pPr>
    </w:p>
    <w:p w:rsidR="00C52205" w:rsidRDefault="00C52205" w:rsidP="00C52205">
      <w:pPr>
        <w:pStyle w:val="Legal3"/>
        <w:tabs>
          <w:tab w:val="left" w:pos="720"/>
        </w:tabs>
        <w:spacing w:line="260" w:lineRule="exact"/>
        <w:jc w:val="both"/>
        <w:rPr>
          <w:sz w:val="20"/>
          <w:szCs w:val="20"/>
        </w:rPr>
      </w:pPr>
    </w:p>
    <w:p w:rsidR="00C52205" w:rsidRDefault="00C52205" w:rsidP="00C52205">
      <w:pPr>
        <w:pStyle w:val="Legal3"/>
        <w:tabs>
          <w:tab w:val="left" w:pos="720"/>
        </w:tabs>
        <w:spacing w:line="260" w:lineRule="exact"/>
        <w:jc w:val="both"/>
        <w:rPr>
          <w:sz w:val="20"/>
          <w:szCs w:val="20"/>
        </w:rPr>
      </w:pPr>
    </w:p>
    <w:p w:rsidR="00C52205" w:rsidRPr="00C52205" w:rsidRDefault="00C52205" w:rsidP="00C52205">
      <w:pPr>
        <w:pStyle w:val="Legal3"/>
        <w:tabs>
          <w:tab w:val="left" w:pos="720"/>
        </w:tabs>
        <w:spacing w:line="260" w:lineRule="exact"/>
        <w:jc w:val="both"/>
        <w:rPr>
          <w:sz w:val="28"/>
          <w:szCs w:val="28"/>
          <w:u w:val="single"/>
        </w:rPr>
      </w:pPr>
      <w:r w:rsidRPr="00C52205">
        <w:rPr>
          <w:sz w:val="28"/>
          <w:szCs w:val="28"/>
          <w:u w:val="single"/>
        </w:rPr>
        <w:t xml:space="preserve">Termination of </w:t>
      </w:r>
      <w:proofErr w:type="gramStart"/>
      <w:r w:rsidRPr="00C52205">
        <w:rPr>
          <w:sz w:val="28"/>
          <w:szCs w:val="28"/>
          <w:u w:val="single"/>
        </w:rPr>
        <w:t>leases</w:t>
      </w:r>
      <w:r w:rsidR="00BE16CA">
        <w:rPr>
          <w:sz w:val="28"/>
          <w:szCs w:val="28"/>
          <w:u w:val="single"/>
        </w:rPr>
        <w:t xml:space="preserve"> :</w:t>
      </w:r>
      <w:proofErr w:type="gramEnd"/>
      <w:r w:rsidR="00BE16CA">
        <w:rPr>
          <w:sz w:val="28"/>
          <w:szCs w:val="28"/>
          <w:u w:val="single"/>
        </w:rPr>
        <w:t xml:space="preserve"> The Rental Housing Act, the</w:t>
      </w:r>
      <w:r w:rsidRPr="00C52205">
        <w:rPr>
          <w:sz w:val="28"/>
          <w:szCs w:val="28"/>
          <w:u w:val="single"/>
        </w:rPr>
        <w:t xml:space="preserve"> CPA and the decision in </w:t>
      </w:r>
      <w:proofErr w:type="spellStart"/>
      <w:r w:rsidRPr="00C52205">
        <w:rPr>
          <w:i/>
          <w:sz w:val="28"/>
          <w:szCs w:val="28"/>
          <w:u w:val="single"/>
        </w:rPr>
        <w:t>Maphango</w:t>
      </w:r>
      <w:proofErr w:type="spellEnd"/>
    </w:p>
    <w:p w:rsidR="00C52205" w:rsidRDefault="00C52205" w:rsidP="00C52205">
      <w:pPr>
        <w:pStyle w:val="Legal3"/>
        <w:tabs>
          <w:tab w:val="left" w:pos="720"/>
        </w:tabs>
        <w:spacing w:line="260" w:lineRule="exact"/>
        <w:jc w:val="both"/>
        <w:rPr>
          <w:sz w:val="20"/>
          <w:szCs w:val="20"/>
        </w:rPr>
      </w:pPr>
    </w:p>
    <w:p w:rsidR="00C52205" w:rsidRDefault="00C52205" w:rsidP="00C52205">
      <w:pPr>
        <w:pStyle w:val="Legal3"/>
        <w:tabs>
          <w:tab w:val="left" w:pos="720"/>
        </w:tabs>
        <w:spacing w:line="260" w:lineRule="exact"/>
        <w:jc w:val="both"/>
        <w:rPr>
          <w:sz w:val="20"/>
          <w:szCs w:val="20"/>
        </w:rPr>
      </w:pPr>
      <w:r>
        <w:rPr>
          <w:sz w:val="20"/>
          <w:szCs w:val="20"/>
        </w:rPr>
        <w:t>The only means by which a landlord of residential property can escape the adverse consequences of the Consumer Protection Act 68 of 2008 relating to cancellation on default, the curtailment of immediate legal action and immediate eviction is not to enter into fixed term leases but rather to adhere to month-to-month leases which are not subject to Section 14. In actual fact, from a landlord’s point of view, all fixed term leases, are for all intents and purposes on a month-to-month basis anyway and therefore only tenants can benefit from fixed term leases.</w:t>
      </w:r>
    </w:p>
    <w:p w:rsidR="00C52205" w:rsidRDefault="00C52205" w:rsidP="00C52205">
      <w:pPr>
        <w:pStyle w:val="ListParagraph"/>
      </w:pPr>
    </w:p>
    <w:p w:rsidR="00C52205" w:rsidRDefault="00C52205" w:rsidP="00C52205">
      <w:pPr>
        <w:numPr>
          <w:ilvl w:val="12"/>
          <w:numId w:val="0"/>
        </w:numPr>
        <w:tabs>
          <w:tab w:val="left" w:pos="720"/>
        </w:tabs>
        <w:spacing w:line="260" w:lineRule="exact"/>
        <w:ind w:left="720" w:hanging="720"/>
        <w:jc w:val="both"/>
        <w:rPr>
          <w:rFonts w:ascii="Bell MT" w:hAnsi="Bell MT" w:cs="Times-Roman"/>
          <w:sz w:val="22"/>
          <w:szCs w:val="22"/>
          <w:lang w:val="en-GB"/>
        </w:rPr>
      </w:pPr>
      <w:r>
        <w:tab/>
      </w:r>
      <w:r>
        <w:rPr>
          <w:u w:val="single"/>
        </w:rPr>
        <w:t>May the landlord cancel the lease on expiry of the fixed term</w:t>
      </w:r>
      <w:r>
        <w:t>? See</w:t>
      </w:r>
      <w:r>
        <w:rPr>
          <w:i/>
          <w:iCs/>
        </w:rPr>
        <w:t xml:space="preserve"> </w:t>
      </w:r>
      <w:proofErr w:type="spellStart"/>
      <w:r w:rsidRPr="007677A0">
        <w:rPr>
          <w:i/>
          <w:iCs/>
        </w:rPr>
        <w:t>Maphango</w:t>
      </w:r>
      <w:proofErr w:type="spellEnd"/>
      <w:r w:rsidRPr="007677A0">
        <w:rPr>
          <w:i/>
          <w:iCs/>
        </w:rPr>
        <w:t xml:space="preserve"> (now </w:t>
      </w:r>
      <w:proofErr w:type="spellStart"/>
      <w:r w:rsidRPr="007677A0">
        <w:rPr>
          <w:i/>
          <w:iCs/>
        </w:rPr>
        <w:t>Mgidlana</w:t>
      </w:r>
      <w:proofErr w:type="spellEnd"/>
      <w:r w:rsidRPr="007677A0">
        <w:rPr>
          <w:i/>
          <w:iCs/>
        </w:rPr>
        <w:t xml:space="preserve">) &amp; others v </w:t>
      </w:r>
      <w:proofErr w:type="spellStart"/>
      <w:r w:rsidRPr="007677A0">
        <w:rPr>
          <w:i/>
          <w:iCs/>
        </w:rPr>
        <w:t>Aengus</w:t>
      </w:r>
      <w:proofErr w:type="spellEnd"/>
      <w:r w:rsidRPr="007677A0">
        <w:rPr>
          <w:i/>
          <w:iCs/>
        </w:rPr>
        <w:t xml:space="preserve"> Lifestyle Properties (Pty) </w:t>
      </w:r>
      <w:proofErr w:type="gramStart"/>
      <w:r w:rsidRPr="007677A0">
        <w:rPr>
          <w:i/>
          <w:iCs/>
        </w:rPr>
        <w:t xml:space="preserve">Ltd </w:t>
      </w:r>
      <w:r w:rsidRPr="007677A0">
        <w:t xml:space="preserve"> 2011</w:t>
      </w:r>
      <w:proofErr w:type="gramEnd"/>
      <w:r w:rsidRPr="007677A0">
        <w:t>] JOL 27414 (SCA)</w:t>
      </w:r>
      <w:r>
        <w:t xml:space="preserve">; [2011] 3 All SA 535 (SCA): </w:t>
      </w:r>
      <w:r>
        <w:rPr>
          <w:u w:val="single"/>
        </w:rPr>
        <w:t xml:space="preserve">lessee cannot  rent in </w:t>
      </w:r>
      <w:proofErr w:type="spellStart"/>
      <w:r>
        <w:rPr>
          <w:u w:val="single"/>
        </w:rPr>
        <w:t>perpetuity.</w:t>
      </w:r>
      <w:r w:rsidRPr="009B2A86">
        <w:t>The</w:t>
      </w:r>
      <w:proofErr w:type="spellEnd"/>
      <w:r w:rsidRPr="009B2A86">
        <w:t xml:space="preserve"> SCA held that the cancellation by a landlord of a lease with the intention of increasing the rent was not against public policy for being </w:t>
      </w:r>
      <w:r>
        <w:t>u</w:t>
      </w:r>
      <w:r w:rsidRPr="009B2A86">
        <w:t>nreasonable and unfair or an infringement of the tenant’s right of access to adequate housing in terms of section 26(1) of the Constitution</w:t>
      </w:r>
      <w:r w:rsidRPr="004A6BB2">
        <w:rPr>
          <w:rFonts w:ascii="Bell MT" w:hAnsi="Bell MT" w:cs="Times-Roman"/>
          <w:sz w:val="22"/>
          <w:szCs w:val="22"/>
          <w:lang w:val="en-GB"/>
        </w:rPr>
        <w:t>.</w:t>
      </w:r>
    </w:p>
    <w:p w:rsidR="00C52205" w:rsidRDefault="00C52205" w:rsidP="00C52205">
      <w:pPr>
        <w:numPr>
          <w:ilvl w:val="12"/>
          <w:numId w:val="0"/>
        </w:numPr>
        <w:tabs>
          <w:tab w:val="left" w:pos="720"/>
        </w:tabs>
        <w:spacing w:line="260" w:lineRule="exact"/>
        <w:ind w:left="720" w:hanging="720"/>
        <w:jc w:val="both"/>
        <w:rPr>
          <w:rFonts w:ascii="Bell MT" w:hAnsi="Bell MT" w:cs="Times-Roman"/>
          <w:sz w:val="22"/>
          <w:szCs w:val="22"/>
          <w:lang w:val="en-GB"/>
        </w:rPr>
      </w:pPr>
    </w:p>
    <w:p w:rsidR="00C52205" w:rsidRDefault="00C52205" w:rsidP="00C52205">
      <w:pPr>
        <w:pStyle w:val="Default"/>
        <w:ind w:left="709" w:hanging="425"/>
        <w:jc w:val="both"/>
        <w:rPr>
          <w:rFonts w:ascii="Arial" w:hAnsi="Arial" w:cs="Arial"/>
          <w:sz w:val="20"/>
          <w:szCs w:val="20"/>
        </w:rPr>
      </w:pPr>
      <w:r>
        <w:rPr>
          <w:sz w:val="22"/>
          <w:szCs w:val="22"/>
          <w:lang w:val="en-GB"/>
        </w:rPr>
        <w:t>●</w:t>
      </w:r>
      <w:r>
        <w:rPr>
          <w:rFonts w:ascii="Bell MT" w:hAnsi="Bell MT" w:cs="Times-Roman"/>
          <w:sz w:val="22"/>
          <w:szCs w:val="22"/>
          <w:lang w:val="en-GB"/>
        </w:rPr>
        <w:tab/>
      </w:r>
      <w:r w:rsidRPr="00D77C5B">
        <w:rPr>
          <w:rFonts w:ascii="Arial" w:hAnsi="Arial" w:cs="Arial"/>
          <w:sz w:val="20"/>
          <w:szCs w:val="20"/>
        </w:rPr>
        <w:t xml:space="preserve">The </w:t>
      </w:r>
      <w:r>
        <w:rPr>
          <w:rFonts w:ascii="Arial" w:hAnsi="Arial" w:cs="Arial"/>
          <w:sz w:val="20"/>
          <w:szCs w:val="20"/>
        </w:rPr>
        <w:t xml:space="preserve">Constitutional Court delivered judgment in the matter of </w:t>
      </w:r>
      <w:r w:rsidR="005A5318" w:rsidRPr="00A760D6">
        <w:rPr>
          <w:rFonts w:ascii="Arial" w:hAnsi="Arial" w:cs="Arial"/>
          <w:i/>
          <w:sz w:val="20"/>
          <w:szCs w:val="20"/>
        </w:rPr>
        <w:fldChar w:fldCharType="begin"/>
      </w:r>
      <w:r w:rsidRPr="00A760D6">
        <w:rPr>
          <w:rFonts w:ascii="Arial" w:hAnsi="Arial" w:cs="Arial"/>
          <w:i/>
          <w:sz w:val="20"/>
          <w:szCs w:val="20"/>
        </w:rPr>
        <w:instrText xml:space="preserve"> SEQ CHAPTER \h \r 1</w:instrText>
      </w:r>
      <w:r w:rsidR="005A5318" w:rsidRPr="00A760D6">
        <w:rPr>
          <w:rFonts w:ascii="Arial" w:hAnsi="Arial" w:cs="Arial"/>
          <w:i/>
          <w:sz w:val="20"/>
          <w:szCs w:val="20"/>
        </w:rPr>
        <w:fldChar w:fldCharType="end"/>
      </w:r>
      <w:proofErr w:type="spellStart"/>
      <w:r w:rsidRPr="00A760D6">
        <w:rPr>
          <w:rFonts w:ascii="Arial" w:hAnsi="Arial" w:cs="Arial"/>
          <w:i/>
          <w:sz w:val="20"/>
          <w:szCs w:val="20"/>
        </w:rPr>
        <w:t>Maphango</w:t>
      </w:r>
      <w:proofErr w:type="spellEnd"/>
      <w:r w:rsidRPr="00A760D6">
        <w:rPr>
          <w:rFonts w:ascii="Arial" w:hAnsi="Arial" w:cs="Arial"/>
          <w:sz w:val="20"/>
          <w:szCs w:val="20"/>
        </w:rPr>
        <w:t xml:space="preserve"> </w:t>
      </w:r>
      <w:r>
        <w:rPr>
          <w:rFonts w:ascii="Arial" w:hAnsi="Arial" w:cs="Arial"/>
          <w:sz w:val="20"/>
          <w:szCs w:val="20"/>
        </w:rPr>
        <w:t>on the 13</w:t>
      </w:r>
      <w:r w:rsidRPr="00F14360">
        <w:rPr>
          <w:rFonts w:ascii="Arial" w:hAnsi="Arial" w:cs="Arial"/>
          <w:sz w:val="20"/>
          <w:szCs w:val="20"/>
          <w:vertAlign w:val="superscript"/>
        </w:rPr>
        <w:t>th</w:t>
      </w:r>
      <w:r>
        <w:rPr>
          <w:rFonts w:ascii="Arial" w:hAnsi="Arial" w:cs="Arial"/>
          <w:sz w:val="20"/>
          <w:szCs w:val="20"/>
        </w:rPr>
        <w:t xml:space="preserve"> March 2012 and effectively r</w:t>
      </w:r>
      <w:r>
        <w:t xml:space="preserve">eversed the judgment of the </w:t>
      </w:r>
      <w:proofErr w:type="gramStart"/>
      <w:r>
        <w:t>SCA :</w:t>
      </w:r>
      <w:proofErr w:type="gramEnd"/>
      <w:r>
        <w:rPr>
          <w:rFonts w:ascii="Arial" w:hAnsi="Arial" w:cs="Arial"/>
          <w:sz w:val="20"/>
          <w:szCs w:val="20"/>
        </w:rPr>
        <w:t xml:space="preserve"> see </w:t>
      </w:r>
      <w:proofErr w:type="spellStart"/>
      <w:r w:rsidRPr="00A760D6">
        <w:rPr>
          <w:rFonts w:ascii="Arial" w:hAnsi="Arial" w:cs="Arial"/>
          <w:i/>
          <w:sz w:val="20"/>
          <w:szCs w:val="20"/>
        </w:rPr>
        <w:t>Maphango</w:t>
      </w:r>
      <w:proofErr w:type="spellEnd"/>
      <w:r w:rsidRPr="00A760D6">
        <w:rPr>
          <w:rFonts w:ascii="Arial" w:hAnsi="Arial" w:cs="Arial"/>
          <w:i/>
          <w:sz w:val="20"/>
          <w:szCs w:val="20"/>
        </w:rPr>
        <w:t xml:space="preserve"> (now </w:t>
      </w:r>
      <w:proofErr w:type="spellStart"/>
      <w:r w:rsidRPr="00A760D6">
        <w:rPr>
          <w:rFonts w:ascii="Arial" w:hAnsi="Arial" w:cs="Arial"/>
          <w:i/>
          <w:sz w:val="20"/>
          <w:szCs w:val="20"/>
        </w:rPr>
        <w:t>Mgidlana</w:t>
      </w:r>
      <w:proofErr w:type="spellEnd"/>
      <w:r w:rsidRPr="00A760D6">
        <w:rPr>
          <w:rFonts w:ascii="Arial" w:hAnsi="Arial" w:cs="Arial"/>
          <w:i/>
          <w:sz w:val="20"/>
          <w:szCs w:val="20"/>
        </w:rPr>
        <w:t xml:space="preserve">) &amp; others v </w:t>
      </w:r>
      <w:proofErr w:type="spellStart"/>
      <w:r w:rsidRPr="00A760D6">
        <w:rPr>
          <w:rFonts w:ascii="Arial" w:hAnsi="Arial" w:cs="Arial"/>
          <w:i/>
          <w:sz w:val="20"/>
          <w:szCs w:val="20"/>
        </w:rPr>
        <w:t>Aengus</w:t>
      </w:r>
      <w:proofErr w:type="spellEnd"/>
      <w:r w:rsidRPr="00A760D6">
        <w:rPr>
          <w:rFonts w:ascii="Arial" w:hAnsi="Arial" w:cs="Arial"/>
          <w:i/>
          <w:sz w:val="20"/>
          <w:szCs w:val="20"/>
        </w:rPr>
        <w:t xml:space="preserve"> </w:t>
      </w:r>
      <w:r w:rsidRPr="006E0E35">
        <w:rPr>
          <w:rFonts w:ascii="Arial" w:hAnsi="Arial" w:cs="Arial"/>
          <w:sz w:val="20"/>
          <w:szCs w:val="20"/>
        </w:rPr>
        <w:t>Lifestyle Properties</w:t>
      </w:r>
      <w:r w:rsidRPr="00A760D6">
        <w:rPr>
          <w:rFonts w:ascii="Arial" w:hAnsi="Arial" w:cs="Arial"/>
          <w:sz w:val="20"/>
          <w:szCs w:val="20"/>
        </w:rPr>
        <w:t xml:space="preserve"> (Pty) Ltd </w:t>
      </w:r>
      <w:r w:rsidRPr="006E0E35">
        <w:rPr>
          <w:rFonts w:ascii="Arial" w:hAnsi="Arial" w:cs="Arial"/>
          <w:sz w:val="20"/>
          <w:szCs w:val="20"/>
        </w:rPr>
        <w:t xml:space="preserve">Case CCT 57/11 </w:t>
      </w:r>
      <w:r w:rsidRPr="006E0E35">
        <w:rPr>
          <w:sz w:val="20"/>
          <w:szCs w:val="20"/>
        </w:rPr>
        <w:t>[2012] ZACC</w:t>
      </w:r>
      <w:r>
        <w:rPr>
          <w:rFonts w:ascii="Arial" w:hAnsi="Arial" w:cs="Arial"/>
          <w:sz w:val="20"/>
          <w:szCs w:val="20"/>
        </w:rPr>
        <w:t xml:space="preserve">. The CC held that the termination of a lease by a landlord may be an </w:t>
      </w:r>
      <w:r w:rsidRPr="00F860BF">
        <w:rPr>
          <w:rFonts w:ascii="Arial" w:hAnsi="Arial" w:cs="Arial"/>
          <w:sz w:val="20"/>
          <w:szCs w:val="20"/>
          <w:u w:val="single"/>
        </w:rPr>
        <w:t>unfair practice</w:t>
      </w:r>
      <w:r>
        <w:rPr>
          <w:rFonts w:ascii="Arial" w:hAnsi="Arial" w:cs="Arial"/>
          <w:sz w:val="20"/>
          <w:szCs w:val="20"/>
        </w:rPr>
        <w:t xml:space="preserve"> in terms of the Rental Housing Act </w:t>
      </w:r>
      <w:r w:rsidRPr="006E0E35">
        <w:rPr>
          <w:rFonts w:ascii="Arial" w:hAnsi="Arial" w:cs="Arial"/>
          <w:sz w:val="20"/>
          <w:szCs w:val="20"/>
          <w:u w:val="single"/>
        </w:rPr>
        <w:t>even if the termination is in accordance with the terms of the lease</w:t>
      </w:r>
      <w:r>
        <w:rPr>
          <w:rFonts w:ascii="Arial" w:hAnsi="Arial" w:cs="Arial"/>
          <w:sz w:val="20"/>
          <w:szCs w:val="20"/>
        </w:rPr>
        <w:t>, set aside the order of the SCA and set a timeframe during which either party may refer the matter back to the Housing Tribunal and thereafter revert it back to the CC.</w:t>
      </w:r>
    </w:p>
    <w:p w:rsidR="00C52205" w:rsidRDefault="00C52205" w:rsidP="00C52205">
      <w:pPr>
        <w:ind w:left="360" w:right="225" w:hanging="360"/>
        <w:jc w:val="both"/>
      </w:pPr>
    </w:p>
    <w:p w:rsidR="00C52205" w:rsidRDefault="00C52205" w:rsidP="00C52205">
      <w:pPr>
        <w:numPr>
          <w:ilvl w:val="12"/>
          <w:numId w:val="0"/>
        </w:numPr>
        <w:tabs>
          <w:tab w:val="left" w:pos="720"/>
        </w:tabs>
        <w:spacing w:line="260" w:lineRule="exact"/>
        <w:ind w:left="720" w:hanging="720"/>
        <w:jc w:val="both"/>
        <w:rPr>
          <w:rFonts w:ascii="Bell MT" w:hAnsi="Bell MT" w:cs="Times-Roman"/>
          <w:sz w:val="22"/>
          <w:szCs w:val="22"/>
          <w:lang w:val="en-GB"/>
        </w:rPr>
      </w:pPr>
      <w:r>
        <w:tab/>
        <w:t>This judgment may have an important bearing on the implementation of section 14 of the CPA relating to the rights of landlords to decline from renewing leases at the expiry of the fixed term.</w:t>
      </w:r>
    </w:p>
    <w:p w:rsidR="00D41512" w:rsidRDefault="00D41512"/>
    <w:sectPr w:rsidR="00D41512" w:rsidSect="00D4151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ell MT">
    <w:panose1 w:val="02020503060305020303"/>
    <w:charset w:val="00"/>
    <w:family w:val="roman"/>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F3463"/>
    <w:multiLevelType w:val="multilevel"/>
    <w:tmpl w:val="FAECBFF0"/>
    <w:lvl w:ilvl="0">
      <w:start w:val="4"/>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2205"/>
    <w:rsid w:val="0024501C"/>
    <w:rsid w:val="005A5318"/>
    <w:rsid w:val="00605ACA"/>
    <w:rsid w:val="008F3D91"/>
    <w:rsid w:val="00AA3628"/>
    <w:rsid w:val="00B2332D"/>
    <w:rsid w:val="00B825A6"/>
    <w:rsid w:val="00BE16CA"/>
    <w:rsid w:val="00C36933"/>
    <w:rsid w:val="00C52205"/>
    <w:rsid w:val="00D41512"/>
    <w:rsid w:val="00D70798"/>
    <w:rsid w:val="00E278B9"/>
    <w:rsid w:val="00F860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205"/>
    <w:pPr>
      <w:autoSpaceDE w:val="0"/>
      <w:autoSpaceDN w:val="0"/>
      <w:adjustRightInd w:val="0"/>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3">
    <w:name w:val="Legal 3"/>
    <w:uiPriority w:val="99"/>
    <w:rsid w:val="00C52205"/>
    <w:pPr>
      <w:autoSpaceDE w:val="0"/>
      <w:autoSpaceDN w:val="0"/>
      <w:adjustRightInd w:val="0"/>
      <w:spacing w:after="0" w:line="240" w:lineRule="auto"/>
      <w:ind w:left="720"/>
    </w:pPr>
    <w:rPr>
      <w:rFonts w:ascii="Arial" w:hAnsi="Arial" w:cs="Arial"/>
      <w:sz w:val="24"/>
      <w:szCs w:val="24"/>
    </w:rPr>
  </w:style>
  <w:style w:type="paragraph" w:styleId="ListParagraph">
    <w:name w:val="List Paragraph"/>
    <w:basedOn w:val="Normal"/>
    <w:uiPriority w:val="34"/>
    <w:qFormat/>
    <w:rsid w:val="00C52205"/>
    <w:pPr>
      <w:ind w:left="720"/>
      <w:contextualSpacing/>
    </w:pPr>
  </w:style>
  <w:style w:type="paragraph" w:customStyle="1" w:styleId="Default">
    <w:name w:val="Default"/>
    <w:rsid w:val="00C5220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dc:creator>
  <cp:keywords/>
  <dc:description/>
  <cp:lastModifiedBy>christo</cp:lastModifiedBy>
  <cp:revision>5</cp:revision>
  <dcterms:created xsi:type="dcterms:W3CDTF">2012-07-22T16:44:00Z</dcterms:created>
  <dcterms:modified xsi:type="dcterms:W3CDTF">2012-07-22T16:54:00Z</dcterms:modified>
</cp:coreProperties>
</file>